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08B25" w14:textId="77777777" w:rsidR="0054132F" w:rsidRDefault="0054132F">
      <w:pPr>
        <w:rPr>
          <w:rFonts w:ascii="Times New Roman" w:hAnsi="Times New Roman"/>
          <w:sz w:val="24"/>
          <w:szCs w:val="24"/>
        </w:rPr>
      </w:pPr>
    </w:p>
    <w:p w14:paraId="57F6C27D" w14:textId="77777777" w:rsidR="0054132F" w:rsidRDefault="0054132F">
      <w:pPr>
        <w:pStyle w:val="PlainText"/>
        <w:jc w:val="center"/>
        <w:rPr>
          <w:rFonts w:ascii="Times New Roman" w:hAnsi="Times New Roman"/>
          <w:b/>
          <w:szCs w:val="24"/>
        </w:rPr>
      </w:pPr>
    </w:p>
    <w:p w14:paraId="30900A28" w14:textId="77777777" w:rsidR="0054132F" w:rsidRDefault="0054132F">
      <w:pPr>
        <w:pStyle w:val="PlainText"/>
        <w:jc w:val="center"/>
        <w:rPr>
          <w:rFonts w:ascii="Times New Roman" w:hAnsi="Times New Roman"/>
          <w:b/>
          <w:szCs w:val="24"/>
        </w:rPr>
      </w:pPr>
    </w:p>
    <w:p w14:paraId="20E264B8" w14:textId="77777777" w:rsidR="0054132F" w:rsidRDefault="0054132F">
      <w:pPr>
        <w:pStyle w:val="PlainText"/>
        <w:jc w:val="center"/>
        <w:rPr>
          <w:rFonts w:ascii="Times New Roman" w:hAnsi="Times New Roman"/>
          <w:b/>
          <w:szCs w:val="24"/>
        </w:rPr>
      </w:pPr>
    </w:p>
    <w:p w14:paraId="283EA58F" w14:textId="77777777" w:rsidR="0054132F" w:rsidRDefault="0054132F">
      <w:pPr>
        <w:pStyle w:val="PlainText"/>
        <w:jc w:val="center"/>
        <w:rPr>
          <w:rFonts w:ascii="Times New Roman" w:hAnsi="Times New Roman"/>
          <w:b/>
          <w:szCs w:val="24"/>
        </w:rPr>
      </w:pPr>
    </w:p>
    <w:p w14:paraId="06623A11" w14:textId="77777777" w:rsidR="0054132F" w:rsidRDefault="0054132F">
      <w:pPr>
        <w:pStyle w:val="PlainText"/>
        <w:jc w:val="center"/>
        <w:rPr>
          <w:rFonts w:ascii="Times New Roman" w:hAnsi="Times New Roman"/>
          <w:b/>
          <w:sz w:val="36"/>
          <w:szCs w:val="24"/>
        </w:rPr>
      </w:pPr>
    </w:p>
    <w:p w14:paraId="015A4CDC" w14:textId="77777777" w:rsidR="0054132F" w:rsidRDefault="002A0998">
      <w:pPr>
        <w:pStyle w:val="PlainText"/>
        <w:jc w:val="center"/>
        <w:rPr>
          <w:rFonts w:ascii="Times New Roman" w:hAnsi="Times New Roman"/>
          <w:b/>
          <w:sz w:val="36"/>
          <w:szCs w:val="24"/>
        </w:rPr>
      </w:pPr>
      <w:r>
        <w:rPr>
          <w:rFonts w:ascii="Times New Roman" w:hAnsi="Times New Roman"/>
          <w:b/>
          <w:sz w:val="36"/>
          <w:szCs w:val="24"/>
        </w:rPr>
        <w:t>GEORGIA POWER</w:t>
      </w:r>
      <w:r w:rsidR="00D24865">
        <w:rPr>
          <w:rFonts w:ascii="Times New Roman" w:hAnsi="Times New Roman"/>
          <w:b/>
          <w:sz w:val="36"/>
          <w:szCs w:val="24"/>
        </w:rPr>
        <w:t xml:space="preserve"> COMPANY’S</w:t>
      </w:r>
      <w:r>
        <w:rPr>
          <w:rFonts w:ascii="Times New Roman" w:hAnsi="Times New Roman"/>
          <w:b/>
          <w:sz w:val="36"/>
          <w:szCs w:val="24"/>
        </w:rPr>
        <w:t xml:space="preserve"> REPORT ON </w:t>
      </w:r>
    </w:p>
    <w:p w14:paraId="00434D9F" w14:textId="7CD1F6CB" w:rsidR="0054132F" w:rsidRDefault="002A0998">
      <w:pPr>
        <w:pStyle w:val="PlainText"/>
        <w:jc w:val="center"/>
        <w:rPr>
          <w:rFonts w:ascii="Times New Roman" w:hAnsi="Times New Roman"/>
          <w:b/>
          <w:sz w:val="36"/>
          <w:szCs w:val="24"/>
        </w:rPr>
      </w:pPr>
      <w:r>
        <w:rPr>
          <w:rFonts w:ascii="Times New Roman" w:hAnsi="Times New Roman"/>
          <w:b/>
          <w:sz w:val="36"/>
          <w:szCs w:val="24"/>
        </w:rPr>
        <w:t>ACHIEVABLE ENERGY EFFICIENCY POTENTIAL ASSESSMENT</w:t>
      </w:r>
    </w:p>
    <w:p w14:paraId="31057AFF" w14:textId="41B41FEA" w:rsidR="0054132F" w:rsidRDefault="002A0998">
      <w:pPr>
        <w:pStyle w:val="PlainText"/>
        <w:spacing w:line="240" w:lineRule="auto"/>
        <w:jc w:val="center"/>
        <w:rPr>
          <w:rFonts w:ascii="Times New Roman" w:hAnsi="Times New Roman"/>
          <w:b/>
          <w:sz w:val="36"/>
          <w:szCs w:val="24"/>
        </w:rPr>
      </w:pPr>
      <w:r>
        <w:rPr>
          <w:rFonts w:ascii="Times New Roman" w:hAnsi="Times New Roman"/>
          <w:b/>
          <w:sz w:val="36"/>
          <w:szCs w:val="24"/>
        </w:rPr>
        <w:t>Docket No.</w:t>
      </w:r>
      <w:r w:rsidR="00BC7F6E">
        <w:rPr>
          <w:rFonts w:ascii="Times New Roman" w:hAnsi="Times New Roman"/>
          <w:b/>
          <w:sz w:val="36"/>
          <w:szCs w:val="24"/>
        </w:rPr>
        <w:t xml:space="preserve"> </w:t>
      </w:r>
      <w:r w:rsidR="00827803">
        <w:rPr>
          <w:rFonts w:ascii="Times New Roman" w:hAnsi="Times New Roman"/>
          <w:b/>
          <w:sz w:val="36"/>
          <w:szCs w:val="24"/>
        </w:rPr>
        <w:t>41253</w:t>
      </w:r>
      <w:r>
        <w:rPr>
          <w:rFonts w:ascii="Times New Roman" w:hAnsi="Times New Roman"/>
          <w:b/>
          <w:sz w:val="36"/>
          <w:szCs w:val="24"/>
        </w:rPr>
        <w:t xml:space="preserve"> </w:t>
      </w:r>
    </w:p>
    <w:p w14:paraId="3A4C4A63" w14:textId="77777777" w:rsidR="0054132F" w:rsidRDefault="0054132F">
      <w:pPr>
        <w:pStyle w:val="PlainText"/>
        <w:spacing w:line="240" w:lineRule="auto"/>
        <w:jc w:val="center"/>
        <w:rPr>
          <w:rFonts w:ascii="Times New Roman" w:hAnsi="Times New Roman"/>
          <w:b/>
          <w:szCs w:val="24"/>
        </w:rPr>
      </w:pPr>
    </w:p>
    <w:p w14:paraId="1BCE7974" w14:textId="77777777" w:rsidR="0054132F" w:rsidRDefault="0054132F">
      <w:pPr>
        <w:pStyle w:val="PlainText"/>
        <w:spacing w:line="240" w:lineRule="auto"/>
        <w:jc w:val="center"/>
        <w:rPr>
          <w:rFonts w:ascii="Times New Roman" w:hAnsi="Times New Roman"/>
          <w:b/>
          <w:szCs w:val="24"/>
        </w:rPr>
      </w:pPr>
    </w:p>
    <w:p w14:paraId="5B16278A" w14:textId="77777777" w:rsidR="0054132F" w:rsidRDefault="0054132F">
      <w:pPr>
        <w:pStyle w:val="PlainText"/>
        <w:spacing w:line="240" w:lineRule="auto"/>
        <w:jc w:val="center"/>
        <w:rPr>
          <w:rFonts w:ascii="Times New Roman" w:hAnsi="Times New Roman"/>
          <w:b/>
          <w:szCs w:val="24"/>
        </w:rPr>
      </w:pPr>
    </w:p>
    <w:p w14:paraId="7BF7AF26" w14:textId="77777777" w:rsidR="0054132F" w:rsidRDefault="0054132F">
      <w:pPr>
        <w:pStyle w:val="PlainText"/>
        <w:spacing w:line="240" w:lineRule="auto"/>
        <w:jc w:val="center"/>
        <w:rPr>
          <w:rFonts w:ascii="Times New Roman" w:hAnsi="Times New Roman"/>
          <w:b/>
          <w:szCs w:val="24"/>
        </w:rPr>
      </w:pPr>
    </w:p>
    <w:p w14:paraId="680732B9" w14:textId="77777777" w:rsidR="0054132F" w:rsidRDefault="0054132F">
      <w:pPr>
        <w:pStyle w:val="PlainText"/>
        <w:spacing w:line="240" w:lineRule="auto"/>
        <w:jc w:val="center"/>
        <w:rPr>
          <w:rFonts w:ascii="Times New Roman" w:hAnsi="Times New Roman"/>
          <w:b/>
          <w:szCs w:val="24"/>
        </w:rPr>
      </w:pPr>
    </w:p>
    <w:p w14:paraId="7731CF07" w14:textId="4A30948C" w:rsidR="0054132F" w:rsidRPr="004B7C48" w:rsidRDefault="002A0998">
      <w:pPr>
        <w:pStyle w:val="PlainText"/>
        <w:spacing w:line="240" w:lineRule="auto"/>
        <w:jc w:val="center"/>
        <w:rPr>
          <w:rFonts w:ascii="Times New Roman" w:hAnsi="Times New Roman"/>
          <w:b/>
          <w:sz w:val="32"/>
          <w:szCs w:val="24"/>
        </w:rPr>
      </w:pPr>
      <w:r w:rsidRPr="004B7C48">
        <w:rPr>
          <w:rFonts w:ascii="Times New Roman" w:hAnsi="Times New Roman"/>
          <w:b/>
          <w:sz w:val="32"/>
          <w:szCs w:val="24"/>
        </w:rPr>
        <w:t xml:space="preserve">January </w:t>
      </w:r>
      <w:r w:rsidR="008C10B0" w:rsidRPr="004B7C48">
        <w:rPr>
          <w:rFonts w:ascii="Times New Roman" w:hAnsi="Times New Roman"/>
          <w:b/>
          <w:sz w:val="32"/>
          <w:szCs w:val="24"/>
        </w:rPr>
        <w:t>3</w:t>
      </w:r>
      <w:r w:rsidR="00827803">
        <w:rPr>
          <w:rFonts w:ascii="Times New Roman" w:hAnsi="Times New Roman"/>
          <w:b/>
          <w:sz w:val="32"/>
          <w:szCs w:val="24"/>
        </w:rPr>
        <w:t>1</w:t>
      </w:r>
      <w:r w:rsidRPr="004B7C48">
        <w:rPr>
          <w:rFonts w:ascii="Times New Roman" w:hAnsi="Times New Roman"/>
          <w:b/>
          <w:sz w:val="32"/>
          <w:szCs w:val="24"/>
        </w:rPr>
        <w:t xml:space="preserve">, </w:t>
      </w:r>
      <w:r w:rsidR="008C10B0" w:rsidRPr="004B7C48">
        <w:rPr>
          <w:rFonts w:ascii="Times New Roman" w:hAnsi="Times New Roman"/>
          <w:b/>
          <w:sz w:val="32"/>
          <w:szCs w:val="24"/>
        </w:rPr>
        <w:t>201</w:t>
      </w:r>
      <w:r w:rsidR="00827803">
        <w:rPr>
          <w:rFonts w:ascii="Times New Roman" w:hAnsi="Times New Roman"/>
          <w:b/>
          <w:sz w:val="32"/>
          <w:szCs w:val="24"/>
        </w:rPr>
        <w:t>8</w:t>
      </w:r>
    </w:p>
    <w:p w14:paraId="4CE027FE" w14:textId="77777777" w:rsidR="004B7C48" w:rsidRPr="004B7C48" w:rsidRDefault="004B7C48">
      <w:pPr>
        <w:pStyle w:val="PlainText"/>
        <w:spacing w:line="240" w:lineRule="auto"/>
        <w:jc w:val="center"/>
        <w:rPr>
          <w:rFonts w:ascii="Times New Roman" w:hAnsi="Times New Roman"/>
          <w:b/>
          <w:sz w:val="32"/>
          <w:szCs w:val="24"/>
        </w:rPr>
      </w:pPr>
    </w:p>
    <w:p w14:paraId="7E4C3D3C" w14:textId="77777777" w:rsidR="0054132F" w:rsidRDefault="0054132F">
      <w:pPr>
        <w:pStyle w:val="PlainText"/>
        <w:spacing w:line="240" w:lineRule="auto"/>
        <w:jc w:val="center"/>
        <w:rPr>
          <w:rFonts w:ascii="Times New Roman" w:hAnsi="Times New Roman"/>
          <w:b/>
          <w:sz w:val="32"/>
          <w:szCs w:val="24"/>
        </w:rPr>
      </w:pPr>
    </w:p>
    <w:p w14:paraId="4DD635D6" w14:textId="77777777" w:rsidR="0054132F" w:rsidRDefault="0054132F">
      <w:pPr>
        <w:pStyle w:val="PlainText"/>
        <w:spacing w:line="240" w:lineRule="auto"/>
        <w:jc w:val="center"/>
        <w:rPr>
          <w:rFonts w:ascii="Times New Roman" w:hAnsi="Times New Roman"/>
          <w:b/>
          <w:szCs w:val="24"/>
        </w:rPr>
      </w:pPr>
    </w:p>
    <w:p w14:paraId="2DDC2324" w14:textId="77777777" w:rsidR="0054132F" w:rsidRDefault="0054132F">
      <w:pPr>
        <w:pStyle w:val="PlainText"/>
        <w:spacing w:line="240" w:lineRule="auto"/>
        <w:jc w:val="center"/>
        <w:rPr>
          <w:rFonts w:ascii="Times New Roman" w:hAnsi="Times New Roman"/>
          <w:b/>
          <w:szCs w:val="24"/>
        </w:rPr>
      </w:pPr>
    </w:p>
    <w:p w14:paraId="713CF218" w14:textId="77777777" w:rsidR="0054132F" w:rsidRDefault="0054132F">
      <w:pPr>
        <w:pStyle w:val="PlainText"/>
        <w:spacing w:line="240" w:lineRule="auto"/>
        <w:jc w:val="center"/>
        <w:rPr>
          <w:rFonts w:ascii="Times New Roman" w:hAnsi="Times New Roman"/>
          <w:b/>
          <w:szCs w:val="24"/>
        </w:rPr>
      </w:pPr>
    </w:p>
    <w:p w14:paraId="4A2070A3" w14:textId="77777777" w:rsidR="0054132F" w:rsidRDefault="0054132F">
      <w:pPr>
        <w:jc w:val="center"/>
        <w:rPr>
          <w:rFonts w:ascii="Times New Roman" w:hAnsi="Times New Roman"/>
          <w:b/>
          <w:sz w:val="24"/>
          <w:szCs w:val="24"/>
        </w:rPr>
      </w:pPr>
    </w:p>
    <w:p w14:paraId="598E0909" w14:textId="77777777" w:rsidR="0054132F" w:rsidRDefault="0054132F">
      <w:pPr>
        <w:jc w:val="center"/>
        <w:rPr>
          <w:rFonts w:ascii="Times New Roman" w:hAnsi="Times New Roman"/>
          <w:b/>
          <w:sz w:val="24"/>
          <w:szCs w:val="24"/>
        </w:rPr>
      </w:pPr>
    </w:p>
    <w:p w14:paraId="38FD86B8" w14:textId="77777777" w:rsidR="0054132F" w:rsidRDefault="0054132F">
      <w:pPr>
        <w:jc w:val="center"/>
        <w:rPr>
          <w:rFonts w:ascii="Times New Roman" w:hAnsi="Times New Roman"/>
          <w:b/>
          <w:sz w:val="24"/>
          <w:szCs w:val="24"/>
        </w:rPr>
        <w:sectPr w:rsidR="0054132F">
          <w:footerReference w:type="default" r:id="rId7"/>
          <w:pgSz w:w="12240" w:h="15840"/>
          <w:pgMar w:top="1440" w:right="1440" w:bottom="1440" w:left="1440" w:header="720" w:footer="720" w:gutter="0"/>
          <w:cols w:space="720"/>
          <w:docGrid w:linePitch="360"/>
        </w:sectPr>
      </w:pPr>
      <w:bookmarkStart w:id="0" w:name="_GoBack"/>
      <w:bookmarkEnd w:id="0"/>
    </w:p>
    <w:p w14:paraId="7126229F" w14:textId="77777777" w:rsidR="0054132F" w:rsidRDefault="0054132F">
      <w:pPr>
        <w:jc w:val="center"/>
        <w:rPr>
          <w:rFonts w:ascii="Times New Roman" w:hAnsi="Times New Roman"/>
          <w:b/>
          <w:sz w:val="24"/>
          <w:szCs w:val="24"/>
        </w:rPr>
      </w:pPr>
    </w:p>
    <w:p w14:paraId="5F0B2F89" w14:textId="77777777" w:rsidR="0054132F" w:rsidRDefault="002A0998">
      <w:pPr>
        <w:jc w:val="center"/>
        <w:rPr>
          <w:rFonts w:ascii="Times New Roman" w:hAnsi="Times New Roman"/>
          <w:b/>
          <w:sz w:val="28"/>
          <w:szCs w:val="24"/>
        </w:rPr>
      </w:pPr>
      <w:r>
        <w:rPr>
          <w:rFonts w:ascii="Times New Roman" w:hAnsi="Times New Roman"/>
          <w:b/>
          <w:sz w:val="28"/>
          <w:szCs w:val="24"/>
        </w:rPr>
        <w:t>GEORGIA POWER COMPANY</w:t>
      </w:r>
      <w:r w:rsidR="00387376">
        <w:rPr>
          <w:rFonts w:ascii="Times New Roman" w:hAnsi="Times New Roman"/>
          <w:b/>
          <w:sz w:val="28"/>
          <w:szCs w:val="24"/>
        </w:rPr>
        <w:t>’S</w:t>
      </w:r>
    </w:p>
    <w:p w14:paraId="5D84FE7B" w14:textId="77777777" w:rsidR="00A628A1" w:rsidRDefault="002A0998">
      <w:pPr>
        <w:tabs>
          <w:tab w:val="left" w:pos="9540"/>
        </w:tabs>
        <w:jc w:val="center"/>
        <w:rPr>
          <w:rFonts w:ascii="Times New Roman" w:hAnsi="Times New Roman"/>
          <w:b/>
          <w:caps/>
          <w:sz w:val="28"/>
          <w:szCs w:val="24"/>
        </w:rPr>
      </w:pPr>
      <w:r>
        <w:rPr>
          <w:rFonts w:ascii="Times New Roman" w:hAnsi="Times New Roman"/>
          <w:b/>
          <w:caps/>
          <w:sz w:val="28"/>
          <w:szCs w:val="24"/>
        </w:rPr>
        <w:t xml:space="preserve">Report on Achievable Energy Efficiency Potential </w:t>
      </w:r>
    </w:p>
    <w:p w14:paraId="4B2B8BB0" w14:textId="154A46A6" w:rsidR="0054132F" w:rsidRDefault="002A0998">
      <w:pPr>
        <w:tabs>
          <w:tab w:val="left" w:pos="9540"/>
        </w:tabs>
        <w:jc w:val="center"/>
        <w:rPr>
          <w:rFonts w:ascii="Times New Roman" w:hAnsi="Times New Roman"/>
          <w:b/>
          <w:caps/>
          <w:sz w:val="28"/>
          <w:szCs w:val="24"/>
        </w:rPr>
      </w:pPr>
      <w:r>
        <w:rPr>
          <w:rFonts w:ascii="Times New Roman" w:hAnsi="Times New Roman"/>
          <w:b/>
          <w:caps/>
          <w:sz w:val="28"/>
          <w:szCs w:val="24"/>
        </w:rPr>
        <w:t>Assessment</w:t>
      </w:r>
    </w:p>
    <w:p w14:paraId="609AAE82" w14:textId="77777777" w:rsidR="0054132F" w:rsidRDefault="0054132F">
      <w:pPr>
        <w:tabs>
          <w:tab w:val="left" w:pos="9540"/>
        </w:tabs>
        <w:jc w:val="center"/>
        <w:rPr>
          <w:rFonts w:ascii="Times New Roman" w:hAnsi="Times New Roman"/>
          <w:b/>
          <w:caps/>
          <w:sz w:val="24"/>
          <w:szCs w:val="24"/>
        </w:rPr>
      </w:pPr>
    </w:p>
    <w:p w14:paraId="2925ADAF" w14:textId="6A3C8C69" w:rsidR="0054132F" w:rsidRDefault="002A0998">
      <w:pPr>
        <w:tabs>
          <w:tab w:val="left" w:pos="9540"/>
        </w:tabs>
        <w:jc w:val="center"/>
        <w:rPr>
          <w:rFonts w:ascii="Times New Roman" w:hAnsi="Times New Roman"/>
          <w:b/>
          <w:sz w:val="28"/>
          <w:szCs w:val="24"/>
        </w:rPr>
      </w:pPr>
      <w:r>
        <w:rPr>
          <w:rFonts w:ascii="Times New Roman" w:hAnsi="Times New Roman"/>
          <w:b/>
          <w:sz w:val="28"/>
          <w:szCs w:val="24"/>
        </w:rPr>
        <w:t xml:space="preserve">Docket No. </w:t>
      </w:r>
      <w:r w:rsidR="00827803">
        <w:rPr>
          <w:rFonts w:ascii="Times New Roman" w:hAnsi="Times New Roman"/>
          <w:b/>
          <w:sz w:val="28"/>
          <w:szCs w:val="24"/>
        </w:rPr>
        <w:t>41253</w:t>
      </w:r>
    </w:p>
    <w:p w14:paraId="2584E11A" w14:textId="77777777" w:rsidR="0054132F" w:rsidRDefault="0054132F">
      <w:pPr>
        <w:jc w:val="center"/>
        <w:rPr>
          <w:rFonts w:ascii="Times New Roman" w:hAnsi="Times New Roman"/>
          <w:sz w:val="24"/>
          <w:szCs w:val="24"/>
        </w:rPr>
      </w:pPr>
    </w:p>
    <w:p w14:paraId="75BC63B4" w14:textId="77777777" w:rsidR="0054132F" w:rsidRDefault="0054132F">
      <w:pPr>
        <w:ind w:left="360"/>
        <w:jc w:val="both"/>
        <w:rPr>
          <w:rFonts w:ascii="Times New Roman" w:hAnsi="Times New Roman"/>
          <w:sz w:val="24"/>
          <w:szCs w:val="24"/>
        </w:rPr>
      </w:pPr>
    </w:p>
    <w:p w14:paraId="5749F89C" w14:textId="77777777" w:rsidR="0054132F" w:rsidRDefault="002A0998">
      <w:pPr>
        <w:spacing w:after="0" w:line="240" w:lineRule="auto"/>
        <w:ind w:left="2880"/>
        <w:rPr>
          <w:rFonts w:ascii="Times New Roman" w:hAnsi="Times New Roman"/>
          <w:sz w:val="32"/>
          <w:szCs w:val="24"/>
        </w:rPr>
      </w:pPr>
      <w:r>
        <w:rPr>
          <w:rFonts w:ascii="Times New Roman" w:hAnsi="Times New Roman"/>
          <w:sz w:val="32"/>
          <w:szCs w:val="24"/>
        </w:rPr>
        <w:t>Georgia Power Company</w:t>
      </w:r>
    </w:p>
    <w:p w14:paraId="4BD35B34" w14:textId="77777777" w:rsidR="0054132F" w:rsidRDefault="002A0998">
      <w:pPr>
        <w:spacing w:after="0" w:line="240" w:lineRule="auto"/>
        <w:ind w:left="2880"/>
        <w:rPr>
          <w:rFonts w:ascii="Times New Roman" w:hAnsi="Times New Roman"/>
          <w:sz w:val="32"/>
          <w:szCs w:val="24"/>
        </w:rPr>
      </w:pPr>
      <w:r>
        <w:rPr>
          <w:rFonts w:ascii="Times New Roman" w:hAnsi="Times New Roman"/>
          <w:sz w:val="32"/>
          <w:szCs w:val="24"/>
        </w:rPr>
        <w:t>241 Ralph McGill Blvd NE</w:t>
      </w:r>
    </w:p>
    <w:p w14:paraId="065EAE44" w14:textId="572BBD2F" w:rsidR="0054132F" w:rsidRDefault="002A0998">
      <w:pPr>
        <w:spacing w:after="0" w:line="240" w:lineRule="auto"/>
        <w:ind w:left="2880"/>
        <w:rPr>
          <w:rFonts w:ascii="Times New Roman" w:hAnsi="Times New Roman"/>
          <w:sz w:val="28"/>
          <w:szCs w:val="24"/>
        </w:rPr>
      </w:pPr>
      <w:r>
        <w:rPr>
          <w:rFonts w:ascii="Times New Roman" w:hAnsi="Times New Roman"/>
          <w:sz w:val="32"/>
          <w:szCs w:val="24"/>
        </w:rPr>
        <w:t>Atlanta, Georgia 30308</w:t>
      </w:r>
    </w:p>
    <w:p w14:paraId="7950080B" w14:textId="77777777" w:rsidR="0054132F" w:rsidRDefault="0054132F">
      <w:pPr>
        <w:ind w:left="1080"/>
        <w:jc w:val="both"/>
        <w:rPr>
          <w:rFonts w:ascii="Times New Roman" w:hAnsi="Times New Roman"/>
          <w:sz w:val="24"/>
          <w:szCs w:val="24"/>
        </w:rPr>
      </w:pPr>
    </w:p>
    <w:p w14:paraId="0E5187AF" w14:textId="77777777" w:rsidR="0054132F" w:rsidRDefault="0054132F">
      <w:pPr>
        <w:ind w:left="1080"/>
        <w:jc w:val="both"/>
        <w:rPr>
          <w:rFonts w:ascii="Times New Roman" w:hAnsi="Times New Roman"/>
          <w:sz w:val="24"/>
          <w:szCs w:val="24"/>
        </w:rPr>
      </w:pPr>
    </w:p>
    <w:p w14:paraId="68CEF773" w14:textId="77777777" w:rsidR="0054132F" w:rsidRDefault="002A0998">
      <w:pPr>
        <w:ind w:left="720"/>
        <w:rPr>
          <w:rFonts w:ascii="Times New Roman" w:hAnsi="Times New Roman"/>
          <w:b/>
          <w:sz w:val="32"/>
          <w:szCs w:val="24"/>
        </w:rPr>
      </w:pPr>
      <w:r>
        <w:rPr>
          <w:rFonts w:ascii="Times New Roman" w:hAnsi="Times New Roman"/>
          <w:b/>
          <w:sz w:val="32"/>
          <w:szCs w:val="24"/>
        </w:rPr>
        <w:t>Authorized person to receive notices or communications with respect to this report:</w:t>
      </w:r>
    </w:p>
    <w:p w14:paraId="66F7DD6D" w14:textId="77777777" w:rsidR="0054132F" w:rsidRDefault="0054132F">
      <w:pPr>
        <w:jc w:val="both"/>
        <w:rPr>
          <w:rFonts w:ascii="Times New Roman" w:hAnsi="Times New Roman"/>
          <w:sz w:val="24"/>
          <w:szCs w:val="24"/>
        </w:rPr>
      </w:pPr>
    </w:p>
    <w:p w14:paraId="0856BA3C" w14:textId="1D90FCA7" w:rsidR="00B438AC" w:rsidRDefault="00D81BA6">
      <w:pPr>
        <w:spacing w:after="0"/>
        <w:ind w:left="2970"/>
        <w:jc w:val="both"/>
        <w:rPr>
          <w:rFonts w:ascii="Times New Roman" w:hAnsi="Times New Roman"/>
          <w:sz w:val="28"/>
          <w:szCs w:val="24"/>
        </w:rPr>
      </w:pPr>
      <w:r>
        <w:rPr>
          <w:rFonts w:ascii="Times New Roman" w:hAnsi="Times New Roman"/>
          <w:sz w:val="28"/>
          <w:szCs w:val="24"/>
        </w:rPr>
        <w:t>Marc Vinson</w:t>
      </w:r>
      <w:r w:rsidR="00776DD2">
        <w:rPr>
          <w:rFonts w:ascii="Times New Roman" w:hAnsi="Times New Roman"/>
          <w:sz w:val="28"/>
          <w:szCs w:val="24"/>
        </w:rPr>
        <w:t xml:space="preserve">, </w:t>
      </w:r>
      <w:r w:rsidR="008C10B0">
        <w:rPr>
          <w:rFonts w:ascii="Times New Roman" w:hAnsi="Times New Roman"/>
          <w:sz w:val="28"/>
          <w:szCs w:val="24"/>
        </w:rPr>
        <w:t>Sr</w:t>
      </w:r>
      <w:r w:rsidR="000533D5">
        <w:rPr>
          <w:rFonts w:ascii="Times New Roman" w:hAnsi="Times New Roman"/>
          <w:sz w:val="28"/>
          <w:szCs w:val="24"/>
        </w:rPr>
        <w:t>.</w:t>
      </w:r>
      <w:r w:rsidR="008C10B0">
        <w:rPr>
          <w:rFonts w:ascii="Times New Roman" w:hAnsi="Times New Roman"/>
          <w:sz w:val="28"/>
          <w:szCs w:val="24"/>
        </w:rPr>
        <w:t xml:space="preserve"> Regulatory Affairs Representative</w:t>
      </w:r>
    </w:p>
    <w:p w14:paraId="0233515D" w14:textId="77777777" w:rsidR="0054132F" w:rsidRDefault="002A0998">
      <w:pPr>
        <w:spacing w:after="0"/>
        <w:ind w:left="2970"/>
        <w:jc w:val="both"/>
        <w:rPr>
          <w:rFonts w:ascii="Times New Roman" w:hAnsi="Times New Roman"/>
          <w:sz w:val="28"/>
          <w:szCs w:val="24"/>
        </w:rPr>
      </w:pPr>
      <w:r>
        <w:rPr>
          <w:rFonts w:ascii="Times New Roman" w:hAnsi="Times New Roman"/>
          <w:sz w:val="28"/>
          <w:szCs w:val="24"/>
        </w:rPr>
        <w:t>Regulatory Affairs, BIN 10230</w:t>
      </w:r>
    </w:p>
    <w:p w14:paraId="05C50DCB" w14:textId="77777777" w:rsidR="0054132F" w:rsidRDefault="002A0998">
      <w:pPr>
        <w:spacing w:after="0"/>
        <w:ind w:left="2970"/>
        <w:jc w:val="both"/>
        <w:rPr>
          <w:rFonts w:ascii="Times New Roman" w:hAnsi="Times New Roman"/>
          <w:sz w:val="28"/>
          <w:szCs w:val="24"/>
        </w:rPr>
      </w:pPr>
      <w:r>
        <w:rPr>
          <w:rFonts w:ascii="Times New Roman" w:hAnsi="Times New Roman"/>
          <w:sz w:val="28"/>
          <w:szCs w:val="24"/>
        </w:rPr>
        <w:t>Georgia Power Company</w:t>
      </w:r>
    </w:p>
    <w:p w14:paraId="73AED047" w14:textId="77777777" w:rsidR="0054132F" w:rsidRDefault="002A0998">
      <w:pPr>
        <w:spacing w:after="0"/>
        <w:ind w:left="2970"/>
        <w:jc w:val="both"/>
        <w:rPr>
          <w:rFonts w:ascii="Times New Roman" w:hAnsi="Times New Roman"/>
          <w:sz w:val="28"/>
          <w:szCs w:val="24"/>
        </w:rPr>
      </w:pPr>
      <w:r>
        <w:rPr>
          <w:rFonts w:ascii="Times New Roman" w:hAnsi="Times New Roman"/>
          <w:sz w:val="28"/>
          <w:szCs w:val="24"/>
        </w:rPr>
        <w:t>241 Ralph McGill Blvd NE</w:t>
      </w:r>
    </w:p>
    <w:p w14:paraId="14793916" w14:textId="7BD9A3FA" w:rsidR="0054132F" w:rsidRDefault="002A0998">
      <w:pPr>
        <w:spacing w:after="0"/>
        <w:ind w:left="2970"/>
        <w:jc w:val="both"/>
        <w:rPr>
          <w:rFonts w:ascii="Times New Roman" w:hAnsi="Times New Roman"/>
          <w:sz w:val="28"/>
          <w:szCs w:val="24"/>
        </w:rPr>
      </w:pPr>
      <w:r>
        <w:rPr>
          <w:rFonts w:ascii="Times New Roman" w:hAnsi="Times New Roman"/>
          <w:sz w:val="28"/>
          <w:szCs w:val="24"/>
        </w:rPr>
        <w:t>Atlanta, Georgia 30308</w:t>
      </w:r>
    </w:p>
    <w:p w14:paraId="098FAA95" w14:textId="50D96917" w:rsidR="0054132F" w:rsidRDefault="002A0998">
      <w:pPr>
        <w:spacing w:after="0"/>
        <w:ind w:left="2970"/>
        <w:jc w:val="both"/>
        <w:rPr>
          <w:rFonts w:ascii="Times New Roman" w:hAnsi="Times New Roman"/>
          <w:sz w:val="28"/>
          <w:szCs w:val="24"/>
        </w:rPr>
      </w:pPr>
      <w:r>
        <w:rPr>
          <w:rFonts w:ascii="Times New Roman" w:hAnsi="Times New Roman"/>
          <w:sz w:val="28"/>
          <w:szCs w:val="24"/>
        </w:rPr>
        <w:t>Voice:  404-506-</w:t>
      </w:r>
      <w:r w:rsidR="00D81BA6">
        <w:rPr>
          <w:rFonts w:ascii="Times New Roman" w:hAnsi="Times New Roman"/>
          <w:sz w:val="28"/>
          <w:szCs w:val="24"/>
        </w:rPr>
        <w:t>2</w:t>
      </w:r>
      <w:r w:rsidR="008C10B0">
        <w:rPr>
          <w:rFonts w:ascii="Times New Roman" w:hAnsi="Times New Roman"/>
          <w:sz w:val="28"/>
          <w:szCs w:val="24"/>
        </w:rPr>
        <w:t>687</w:t>
      </w:r>
    </w:p>
    <w:p w14:paraId="678FC256" w14:textId="77777777" w:rsidR="0054132F" w:rsidRDefault="002A0998">
      <w:pPr>
        <w:spacing w:after="0"/>
        <w:ind w:left="2970"/>
        <w:jc w:val="both"/>
        <w:rPr>
          <w:rFonts w:ascii="Times New Roman" w:hAnsi="Times New Roman"/>
          <w:sz w:val="28"/>
          <w:szCs w:val="24"/>
        </w:rPr>
      </w:pPr>
      <w:r>
        <w:rPr>
          <w:rFonts w:ascii="Times New Roman" w:hAnsi="Times New Roman"/>
          <w:sz w:val="28"/>
          <w:szCs w:val="24"/>
        </w:rPr>
        <w:t>Fax:     404-506-7253</w:t>
      </w:r>
    </w:p>
    <w:p w14:paraId="111F3D87" w14:textId="77777777" w:rsidR="0054132F" w:rsidRDefault="0054132F">
      <w:pPr>
        <w:rPr>
          <w:rFonts w:ascii="Times New Roman" w:hAnsi="Times New Roman"/>
          <w:sz w:val="24"/>
          <w:szCs w:val="24"/>
        </w:rPr>
      </w:pPr>
    </w:p>
    <w:p w14:paraId="7688272D" w14:textId="77777777" w:rsidR="0054132F" w:rsidRDefault="0054132F">
      <w:pPr>
        <w:rPr>
          <w:rFonts w:ascii="Times New Roman" w:hAnsi="Times New Roman"/>
          <w:sz w:val="24"/>
          <w:szCs w:val="24"/>
        </w:rPr>
      </w:pPr>
    </w:p>
    <w:p w14:paraId="6053DFF5" w14:textId="77777777" w:rsidR="0054132F" w:rsidRDefault="0054132F">
      <w:pPr>
        <w:jc w:val="both"/>
        <w:rPr>
          <w:rFonts w:ascii="Times New Roman" w:hAnsi="Times New Roman"/>
          <w:sz w:val="24"/>
          <w:szCs w:val="24"/>
        </w:rPr>
        <w:sectPr w:rsidR="0054132F">
          <w:pgSz w:w="12240" w:h="15840"/>
          <w:pgMar w:top="1440" w:right="1440" w:bottom="1440" w:left="1440" w:header="720" w:footer="720" w:gutter="0"/>
          <w:cols w:space="720"/>
          <w:docGrid w:linePitch="360"/>
        </w:sectPr>
      </w:pPr>
    </w:p>
    <w:p w14:paraId="0CC3A887" w14:textId="77777777" w:rsidR="0054132F" w:rsidRDefault="002A0998">
      <w:pPr>
        <w:suppressAutoHyphens/>
        <w:jc w:val="center"/>
        <w:rPr>
          <w:rFonts w:ascii="Times New Roman" w:hAnsi="Times New Roman"/>
          <w:b/>
          <w:spacing w:val="-3"/>
          <w:sz w:val="24"/>
          <w:szCs w:val="24"/>
        </w:rPr>
      </w:pPr>
      <w:r>
        <w:rPr>
          <w:rFonts w:ascii="Times New Roman" w:hAnsi="Times New Roman"/>
          <w:b/>
          <w:spacing w:val="-3"/>
          <w:sz w:val="24"/>
          <w:szCs w:val="24"/>
        </w:rPr>
        <w:lastRenderedPageBreak/>
        <w:t>BASIS FOR THE ASSERTION THAT THE</w:t>
      </w:r>
    </w:p>
    <w:p w14:paraId="4924F372" w14:textId="77777777" w:rsidR="0054132F" w:rsidRDefault="002A0998">
      <w:pPr>
        <w:suppressAutoHyphens/>
        <w:jc w:val="center"/>
        <w:rPr>
          <w:rFonts w:ascii="Times New Roman" w:hAnsi="Times New Roman"/>
          <w:b/>
          <w:spacing w:val="-3"/>
          <w:sz w:val="24"/>
          <w:szCs w:val="24"/>
        </w:rPr>
      </w:pPr>
      <w:r>
        <w:rPr>
          <w:rFonts w:ascii="Times New Roman" w:hAnsi="Times New Roman"/>
          <w:b/>
          <w:spacing w:val="-3"/>
          <w:sz w:val="24"/>
          <w:szCs w:val="24"/>
        </w:rPr>
        <w:t>INFORMATION SUBMITTED IS A TRADE SECRET</w:t>
      </w:r>
    </w:p>
    <w:p w14:paraId="299C434B" w14:textId="77777777" w:rsidR="0095095A" w:rsidRDefault="0095095A" w:rsidP="0095095A">
      <w:pPr>
        <w:suppressAutoHyphens/>
        <w:spacing w:line="360" w:lineRule="auto"/>
        <w:ind w:firstLine="720"/>
        <w:jc w:val="both"/>
        <w:rPr>
          <w:rFonts w:ascii="Times New Roman" w:hAnsi="Times New Roman"/>
          <w:spacing w:val="-3"/>
          <w:sz w:val="24"/>
          <w:szCs w:val="24"/>
        </w:rPr>
      </w:pPr>
    </w:p>
    <w:p w14:paraId="6ACE56C8" w14:textId="5C12A66C" w:rsidR="0095095A" w:rsidRPr="0095095A" w:rsidRDefault="0095095A" w:rsidP="004A428F">
      <w:pPr>
        <w:suppressAutoHyphens/>
        <w:spacing w:line="360" w:lineRule="auto"/>
        <w:ind w:firstLine="720"/>
        <w:jc w:val="both"/>
        <w:rPr>
          <w:rFonts w:ascii="Times New Roman" w:hAnsi="Times New Roman"/>
          <w:spacing w:val="-3"/>
          <w:sz w:val="24"/>
          <w:szCs w:val="24"/>
        </w:rPr>
      </w:pPr>
      <w:r w:rsidRPr="0095095A">
        <w:rPr>
          <w:rFonts w:ascii="Times New Roman" w:hAnsi="Times New Roman"/>
          <w:spacing w:val="-3"/>
          <w:sz w:val="24"/>
          <w:szCs w:val="24"/>
        </w:rPr>
        <w:t xml:space="preserve">As part of the </w:t>
      </w:r>
      <w:r w:rsidR="000533D5" w:rsidRPr="0095095A">
        <w:rPr>
          <w:rFonts w:ascii="Times New Roman" w:hAnsi="Times New Roman"/>
          <w:spacing w:val="-3"/>
          <w:sz w:val="24"/>
          <w:szCs w:val="24"/>
        </w:rPr>
        <w:t>201</w:t>
      </w:r>
      <w:r w:rsidR="006A11A2">
        <w:rPr>
          <w:rFonts w:ascii="Times New Roman" w:hAnsi="Times New Roman"/>
          <w:spacing w:val="-3"/>
          <w:sz w:val="24"/>
          <w:szCs w:val="24"/>
        </w:rPr>
        <w:t>7</w:t>
      </w:r>
      <w:r w:rsidR="000533D5" w:rsidRPr="0095095A">
        <w:rPr>
          <w:rFonts w:ascii="Times New Roman" w:hAnsi="Times New Roman"/>
          <w:spacing w:val="-3"/>
          <w:sz w:val="24"/>
          <w:szCs w:val="24"/>
        </w:rPr>
        <w:t xml:space="preserve"> </w:t>
      </w:r>
      <w:r w:rsidRPr="0095095A">
        <w:rPr>
          <w:rFonts w:ascii="Times New Roman" w:hAnsi="Times New Roman"/>
          <w:spacing w:val="-3"/>
          <w:sz w:val="24"/>
          <w:szCs w:val="24"/>
        </w:rPr>
        <w:t>Demand Side Management Working Group process under Docket No.</w:t>
      </w:r>
      <w:r w:rsidR="000533D5">
        <w:rPr>
          <w:rFonts w:ascii="Times New Roman" w:hAnsi="Times New Roman"/>
          <w:spacing w:val="-3"/>
          <w:sz w:val="24"/>
          <w:szCs w:val="24"/>
        </w:rPr>
        <w:t xml:space="preserve"> </w:t>
      </w:r>
      <w:r w:rsidR="00827803">
        <w:rPr>
          <w:rFonts w:ascii="Times New Roman" w:hAnsi="Times New Roman"/>
          <w:spacing w:val="-3"/>
          <w:sz w:val="24"/>
          <w:szCs w:val="24"/>
        </w:rPr>
        <w:t>41253</w:t>
      </w:r>
      <w:r w:rsidRPr="0095095A">
        <w:rPr>
          <w:rFonts w:ascii="Times New Roman" w:hAnsi="Times New Roman"/>
          <w:spacing w:val="-3"/>
          <w:sz w:val="24"/>
          <w:szCs w:val="24"/>
        </w:rPr>
        <w:t>, Georgia Power Company (“Georgia Power” or the “Company”) submits to the Georgia Public Service Commission its</w:t>
      </w:r>
      <w:r w:rsidR="004B7C48">
        <w:rPr>
          <w:rFonts w:ascii="Times New Roman" w:hAnsi="Times New Roman"/>
          <w:spacing w:val="-3"/>
          <w:sz w:val="24"/>
          <w:szCs w:val="24"/>
        </w:rPr>
        <w:t xml:space="preserve"> </w:t>
      </w:r>
      <w:r w:rsidRPr="0095095A">
        <w:rPr>
          <w:rFonts w:ascii="Times New Roman" w:hAnsi="Times New Roman"/>
          <w:spacing w:val="-3"/>
          <w:sz w:val="24"/>
          <w:szCs w:val="24"/>
        </w:rPr>
        <w:t>Report on Achievable Energy Efficiency Potential Assessment, which contains specific market information (the “Information”) of the Company.  The Information is a trade secret of Georgia Power, the Southern Company and their affiliates.</w:t>
      </w:r>
    </w:p>
    <w:p w14:paraId="08E41BE3" w14:textId="77777777" w:rsidR="0095095A" w:rsidRPr="0095095A" w:rsidRDefault="0095095A" w:rsidP="0095095A">
      <w:pPr>
        <w:suppressAutoHyphens/>
        <w:spacing w:line="360" w:lineRule="auto"/>
        <w:ind w:firstLine="720"/>
        <w:jc w:val="both"/>
        <w:rPr>
          <w:rFonts w:ascii="Times New Roman" w:hAnsi="Times New Roman"/>
          <w:spacing w:val="-3"/>
          <w:sz w:val="24"/>
          <w:szCs w:val="24"/>
        </w:rPr>
      </w:pPr>
      <w:r w:rsidRPr="0095095A">
        <w:rPr>
          <w:rFonts w:ascii="Times New Roman" w:hAnsi="Times New Roman"/>
          <w:spacing w:val="-3"/>
          <w:sz w:val="24"/>
          <w:szCs w:val="24"/>
        </w:rPr>
        <w:t>The Information derives economic value from not being generally known to, and not being readily ascertainable by proper means by other persons who can obtain economic value from its disclosure or use.  Additionally, the Information is subject to extensive efforts to maintain its confidentiality.</w:t>
      </w:r>
    </w:p>
    <w:p w14:paraId="74A602D6" w14:textId="2F7195F0" w:rsidR="0095095A" w:rsidRPr="0095095A" w:rsidRDefault="0095095A" w:rsidP="008A4A1D">
      <w:pPr>
        <w:suppressAutoHyphens/>
        <w:spacing w:line="360" w:lineRule="auto"/>
        <w:ind w:firstLine="720"/>
        <w:jc w:val="both"/>
        <w:rPr>
          <w:rFonts w:ascii="Times New Roman" w:hAnsi="Times New Roman"/>
          <w:spacing w:val="-3"/>
          <w:sz w:val="24"/>
          <w:szCs w:val="24"/>
        </w:rPr>
      </w:pPr>
      <w:r w:rsidRPr="0095095A">
        <w:rPr>
          <w:rFonts w:ascii="Times New Roman" w:hAnsi="Times New Roman"/>
          <w:sz w:val="24"/>
          <w:szCs w:val="24"/>
        </w:rPr>
        <w:t xml:space="preserve">Specifically, the Information includes detailed information regarding the Company’s </w:t>
      </w:r>
      <w:r w:rsidR="008A4A1D">
        <w:rPr>
          <w:rFonts w:ascii="Times New Roman" w:hAnsi="Times New Roman"/>
          <w:sz w:val="24"/>
          <w:szCs w:val="24"/>
        </w:rPr>
        <w:t>energy and demand forecast.  R</w:t>
      </w:r>
      <w:r w:rsidRPr="0095095A">
        <w:rPr>
          <w:rFonts w:ascii="Times New Roman" w:hAnsi="Times New Roman"/>
          <w:sz w:val="24"/>
          <w:szCs w:val="24"/>
        </w:rPr>
        <w:t>evealing the redacted information regarding the energy and demand forecast would give competitors of Georgia Power a competitive advantage in the marketplace by revealing the Company’s prospective growth and load shapes.  The information provided constitutes detailed energy usage information regarding specific classes of customers.  If revealed to the public, a competitor could use the information to tailor proposals with the intention of targeting certain groups of customers</w:t>
      </w:r>
      <w:r w:rsidR="00DD6A4E">
        <w:rPr>
          <w:rFonts w:ascii="Times New Roman" w:hAnsi="Times New Roman"/>
          <w:sz w:val="24"/>
          <w:szCs w:val="24"/>
        </w:rPr>
        <w:t>,</w:t>
      </w:r>
      <w:r w:rsidRPr="0095095A">
        <w:rPr>
          <w:rFonts w:ascii="Times New Roman" w:hAnsi="Times New Roman"/>
          <w:sz w:val="24"/>
          <w:szCs w:val="24"/>
        </w:rPr>
        <w:t xml:space="preserve"> thereby undermining the Company’s market position.  Such information would assist competitors in undercutting Georgia Power’s bids to win both wholesale and retail customers.  In addition, such information would reveal the Company’s needs in the short-term, thereby potentially harming the Company’s ability to make cost-effective sales or purchases of energy on behalf of its customers.</w:t>
      </w:r>
    </w:p>
    <w:p w14:paraId="2FC1255C" w14:textId="77777777" w:rsidR="008A4A1D" w:rsidRDefault="0095095A" w:rsidP="008A4A1D">
      <w:pPr>
        <w:suppressAutoHyphens/>
        <w:spacing w:line="360" w:lineRule="auto"/>
        <w:ind w:firstLine="720"/>
        <w:jc w:val="both"/>
        <w:rPr>
          <w:rFonts w:ascii="Times New Roman" w:hAnsi="Times New Roman"/>
          <w:spacing w:val="-3"/>
          <w:sz w:val="24"/>
          <w:szCs w:val="24"/>
        </w:rPr>
      </w:pPr>
      <w:r w:rsidRPr="0095095A">
        <w:rPr>
          <w:rFonts w:ascii="Times New Roman" w:hAnsi="Times New Roman"/>
          <w:spacing w:val="-3"/>
          <w:sz w:val="24"/>
          <w:szCs w:val="24"/>
        </w:rPr>
        <w:t>The Information is subject to substantial procedures to maintain its secrecy.  Only select Georgia Power and Southern Company personnel</w:t>
      </w:r>
      <w:r w:rsidR="00881563">
        <w:rPr>
          <w:rFonts w:ascii="Times New Roman" w:hAnsi="Times New Roman"/>
          <w:spacing w:val="-3"/>
          <w:sz w:val="24"/>
          <w:szCs w:val="24"/>
        </w:rPr>
        <w:t xml:space="preserve"> and their legal counsel</w:t>
      </w:r>
      <w:r w:rsidRPr="0095095A">
        <w:rPr>
          <w:rFonts w:ascii="Times New Roman" w:hAnsi="Times New Roman"/>
          <w:spacing w:val="-3"/>
          <w:sz w:val="24"/>
          <w:szCs w:val="24"/>
        </w:rPr>
        <w:t xml:space="preserve"> are granted access to the Information.  Those personnel receive access only on a “need to know” basis.  </w:t>
      </w:r>
      <w:r w:rsidR="00881563">
        <w:rPr>
          <w:rFonts w:ascii="Times New Roman" w:hAnsi="Times New Roman"/>
          <w:spacing w:val="-3"/>
          <w:sz w:val="24"/>
          <w:szCs w:val="24"/>
        </w:rPr>
        <w:t>If a party outside of Georgia Power and Southern Company affiliates and their legal counsel are granted access to the trade secret portions of the Information, the party is required to sign a confidentiality agreement with respect to the trade secret portions of the Information.</w:t>
      </w:r>
    </w:p>
    <w:p w14:paraId="0D49EF9A" w14:textId="5946EF25" w:rsidR="0095095A" w:rsidRPr="008A4A1D" w:rsidRDefault="002F77E2" w:rsidP="008A4A1D">
      <w:pPr>
        <w:suppressAutoHyphens/>
        <w:spacing w:line="360" w:lineRule="auto"/>
        <w:ind w:firstLine="720"/>
        <w:jc w:val="both"/>
        <w:rPr>
          <w:rFonts w:ascii="Times New Roman" w:hAnsi="Times New Roman"/>
          <w:spacing w:val="-3"/>
          <w:sz w:val="24"/>
          <w:szCs w:val="24"/>
        </w:rPr>
      </w:pPr>
      <w:r w:rsidRPr="008A4A1D">
        <w:rPr>
          <w:rFonts w:ascii="Times New Roman" w:hAnsi="Times New Roman"/>
          <w:spacing w:val="-3"/>
          <w:sz w:val="24"/>
          <w:szCs w:val="24"/>
        </w:rPr>
        <w:t>Larry Legg</w:t>
      </w:r>
      <w:r w:rsidR="0095095A" w:rsidRPr="008A4A1D">
        <w:rPr>
          <w:rFonts w:ascii="Times New Roman" w:hAnsi="Times New Roman"/>
          <w:spacing w:val="-3"/>
          <w:sz w:val="24"/>
          <w:szCs w:val="24"/>
        </w:rPr>
        <w:t>, first being duly sworn, deposes and states that he has reviewed the Report on Achievable Energy Efficiency Potential Assessment and that to the best of his knowledge the information included in such report is accurate and that the specific information designated as trade secret constitute trade secrets pursuant to Article 27, Chapter 1, Title 10 of the</w:t>
      </w:r>
      <w:r w:rsidR="00881563" w:rsidRPr="008A4A1D">
        <w:rPr>
          <w:rFonts w:ascii="Times New Roman" w:hAnsi="Times New Roman"/>
          <w:spacing w:val="-3"/>
          <w:sz w:val="24"/>
          <w:szCs w:val="24"/>
        </w:rPr>
        <w:t xml:space="preserve"> Official Code of</w:t>
      </w:r>
      <w:r w:rsidR="0095095A" w:rsidRPr="008A4A1D">
        <w:rPr>
          <w:rFonts w:ascii="Times New Roman" w:hAnsi="Times New Roman"/>
          <w:spacing w:val="-3"/>
          <w:sz w:val="24"/>
          <w:szCs w:val="24"/>
        </w:rPr>
        <w:t xml:space="preserve"> Georgia.</w:t>
      </w:r>
    </w:p>
    <w:p w14:paraId="687998EC" w14:textId="77777777" w:rsidR="0095095A" w:rsidRDefault="0095095A" w:rsidP="0095095A">
      <w:pPr>
        <w:pStyle w:val="BodyText"/>
      </w:pPr>
    </w:p>
    <w:p w14:paraId="1BEC757F" w14:textId="77777777" w:rsidR="0095095A" w:rsidRDefault="0095095A" w:rsidP="0095095A">
      <w:pPr>
        <w:pStyle w:val="BodyText"/>
      </w:pPr>
    </w:p>
    <w:p w14:paraId="596441DB" w14:textId="77777777" w:rsidR="0095095A" w:rsidRDefault="0095095A" w:rsidP="0095095A">
      <w:pPr>
        <w:pStyle w:val="BodyText"/>
      </w:pPr>
      <w:r>
        <w:tab/>
      </w:r>
      <w:r>
        <w:tab/>
      </w:r>
      <w:r>
        <w:tab/>
      </w:r>
      <w:r>
        <w:tab/>
      </w:r>
      <w:r>
        <w:tab/>
        <w:t>________________________</w:t>
      </w:r>
    </w:p>
    <w:p w14:paraId="763F5BA7" w14:textId="77777777" w:rsidR="0095095A" w:rsidRDefault="0095095A" w:rsidP="0095095A">
      <w:pPr>
        <w:pStyle w:val="BodyText"/>
      </w:pPr>
      <w:r>
        <w:tab/>
      </w:r>
      <w:r>
        <w:tab/>
      </w:r>
      <w:r>
        <w:tab/>
      </w:r>
      <w:r>
        <w:tab/>
      </w:r>
      <w:r>
        <w:tab/>
      </w:r>
      <w:r w:rsidR="002F77E2">
        <w:t>Larry Legg</w:t>
      </w:r>
    </w:p>
    <w:p w14:paraId="77AC017D" w14:textId="77777777" w:rsidR="0095095A" w:rsidRDefault="0095095A" w:rsidP="0095095A">
      <w:pPr>
        <w:pStyle w:val="BodyText"/>
      </w:pPr>
      <w:r>
        <w:tab/>
      </w:r>
      <w:r>
        <w:tab/>
      </w:r>
      <w:r>
        <w:tab/>
      </w:r>
      <w:r>
        <w:tab/>
      </w:r>
      <w:r>
        <w:tab/>
        <w:t>Manager,</w:t>
      </w:r>
      <w:r w:rsidR="002F77E2">
        <w:t xml:space="preserve"> Market Planning</w:t>
      </w:r>
    </w:p>
    <w:p w14:paraId="1CC200F0" w14:textId="77777777" w:rsidR="0095095A" w:rsidRDefault="0095095A" w:rsidP="0095095A">
      <w:pPr>
        <w:pStyle w:val="BodyText"/>
      </w:pPr>
      <w:r>
        <w:tab/>
      </w:r>
      <w:r>
        <w:tab/>
      </w:r>
      <w:r>
        <w:tab/>
      </w:r>
      <w:r>
        <w:tab/>
      </w:r>
      <w:r>
        <w:tab/>
        <w:t>Georgia Power Company</w:t>
      </w:r>
    </w:p>
    <w:p w14:paraId="59AAB9A6" w14:textId="77777777" w:rsidR="0095095A" w:rsidRDefault="0095095A" w:rsidP="0095095A">
      <w:pPr>
        <w:pStyle w:val="BodyText"/>
      </w:pPr>
    </w:p>
    <w:p w14:paraId="05A0F392" w14:textId="77777777" w:rsidR="0095095A" w:rsidRDefault="0095095A" w:rsidP="0095095A">
      <w:pPr>
        <w:pStyle w:val="BodyText"/>
      </w:pPr>
    </w:p>
    <w:p w14:paraId="0AACC87D" w14:textId="2BA6BB2A" w:rsidR="0095095A" w:rsidRDefault="0095095A" w:rsidP="0095095A">
      <w:pPr>
        <w:pStyle w:val="BodyText"/>
      </w:pPr>
      <w:r>
        <w:tab/>
        <w:t>Subscribed and sworn to before me this _____ day of _______, 201</w:t>
      </w:r>
      <w:r w:rsidR="00827803">
        <w:t>8</w:t>
      </w:r>
      <w:r>
        <w:t>.</w:t>
      </w:r>
    </w:p>
    <w:p w14:paraId="2194097A" w14:textId="77777777" w:rsidR="0095095A" w:rsidRDefault="0095095A" w:rsidP="0095095A">
      <w:pPr>
        <w:pStyle w:val="BodyText"/>
      </w:pPr>
    </w:p>
    <w:p w14:paraId="473C4B49" w14:textId="77777777" w:rsidR="0095095A" w:rsidRDefault="0095095A" w:rsidP="0095095A">
      <w:pPr>
        <w:pStyle w:val="BodyText"/>
      </w:pPr>
    </w:p>
    <w:p w14:paraId="6F2111AC" w14:textId="77777777" w:rsidR="0095095A" w:rsidRDefault="0095095A" w:rsidP="0095095A">
      <w:pPr>
        <w:pStyle w:val="BodyText"/>
      </w:pPr>
    </w:p>
    <w:p w14:paraId="62AFF1BD" w14:textId="77777777" w:rsidR="0095095A" w:rsidRDefault="0095095A" w:rsidP="0095095A">
      <w:pPr>
        <w:pStyle w:val="BodyText"/>
      </w:pPr>
      <w:r>
        <w:t>____________________</w:t>
      </w:r>
    </w:p>
    <w:p w14:paraId="12D9BC0D" w14:textId="77777777" w:rsidR="0095095A" w:rsidRDefault="0095095A" w:rsidP="0095095A">
      <w:pPr>
        <w:pStyle w:val="BodyText"/>
      </w:pPr>
      <w:r>
        <w:t>Notary Public</w:t>
      </w:r>
    </w:p>
    <w:p w14:paraId="460FF0C6" w14:textId="77777777" w:rsidR="0095095A" w:rsidRDefault="0095095A" w:rsidP="0095095A">
      <w:pPr>
        <w:pStyle w:val="BodyText"/>
      </w:pPr>
    </w:p>
    <w:p w14:paraId="6C94C2A7" w14:textId="77777777" w:rsidR="0095095A" w:rsidRPr="006938F7" w:rsidRDefault="0095095A" w:rsidP="0095095A">
      <w:pPr>
        <w:pStyle w:val="BodyText"/>
      </w:pPr>
      <w:r>
        <w:t>My Commission expires:</w:t>
      </w:r>
    </w:p>
    <w:p w14:paraId="21FC81FF" w14:textId="77777777" w:rsidR="0095095A" w:rsidRDefault="0095095A" w:rsidP="0095095A">
      <w:pPr>
        <w:spacing w:after="240"/>
        <w:ind w:firstLine="720"/>
        <w:jc w:val="both"/>
      </w:pPr>
    </w:p>
    <w:p w14:paraId="6F13DAE4" w14:textId="77777777" w:rsidR="0054132F" w:rsidRDefault="002A0998">
      <w:pPr>
        <w:rPr>
          <w:rFonts w:ascii="Times New Roman" w:hAnsi="Times New Roman"/>
          <w:sz w:val="24"/>
          <w:szCs w:val="24"/>
        </w:rPr>
      </w:pPr>
      <w:r>
        <w:rPr>
          <w:rFonts w:ascii="Times New Roman" w:hAnsi="Times New Roman"/>
          <w:sz w:val="24"/>
          <w:szCs w:val="24"/>
        </w:rPr>
        <w:br w:type="page"/>
      </w:r>
    </w:p>
    <w:p w14:paraId="67C15310" w14:textId="77777777" w:rsidR="0054132F" w:rsidRDefault="0054132F">
      <w:pPr>
        <w:pStyle w:val="PlainText"/>
        <w:jc w:val="center"/>
        <w:rPr>
          <w:rFonts w:ascii="Times New Roman" w:hAnsi="Times New Roman"/>
          <w:b/>
          <w:szCs w:val="24"/>
        </w:rPr>
      </w:pPr>
    </w:p>
    <w:p w14:paraId="7E9C7EED" w14:textId="77777777" w:rsidR="0054132F" w:rsidRDefault="002A0998">
      <w:pPr>
        <w:pStyle w:val="PlainText"/>
        <w:jc w:val="center"/>
        <w:rPr>
          <w:rFonts w:ascii="Times New Roman" w:hAnsi="Times New Roman"/>
          <w:b/>
          <w:szCs w:val="24"/>
        </w:rPr>
      </w:pPr>
      <w:r>
        <w:rPr>
          <w:rFonts w:ascii="Times New Roman" w:hAnsi="Times New Roman"/>
          <w:b/>
          <w:szCs w:val="24"/>
        </w:rPr>
        <w:t>GEORGIA POWER</w:t>
      </w:r>
      <w:r w:rsidR="00D24865">
        <w:rPr>
          <w:rFonts w:ascii="Times New Roman" w:hAnsi="Times New Roman"/>
          <w:b/>
          <w:szCs w:val="24"/>
        </w:rPr>
        <w:t xml:space="preserve"> COMPANY</w:t>
      </w:r>
      <w:r>
        <w:rPr>
          <w:rFonts w:ascii="Times New Roman" w:hAnsi="Times New Roman"/>
          <w:b/>
          <w:szCs w:val="24"/>
        </w:rPr>
        <w:t xml:space="preserve">’S REPORT ON </w:t>
      </w:r>
    </w:p>
    <w:p w14:paraId="54BE3C70" w14:textId="29FF4AC5" w:rsidR="0054132F" w:rsidRDefault="002A0998">
      <w:pPr>
        <w:pStyle w:val="PlainText"/>
        <w:jc w:val="center"/>
        <w:rPr>
          <w:rFonts w:ascii="Times New Roman" w:hAnsi="Times New Roman"/>
          <w:b/>
          <w:szCs w:val="24"/>
        </w:rPr>
      </w:pPr>
      <w:r>
        <w:rPr>
          <w:rFonts w:ascii="Times New Roman" w:hAnsi="Times New Roman"/>
          <w:b/>
          <w:szCs w:val="24"/>
        </w:rPr>
        <w:t>ACHIEVABLE ENERGY EFFICIENCY POTENTIAL ASSESSMENT</w:t>
      </w:r>
    </w:p>
    <w:p w14:paraId="212175B9" w14:textId="366708EF" w:rsidR="0054132F" w:rsidRDefault="002A0998">
      <w:pPr>
        <w:pStyle w:val="PlainText"/>
        <w:jc w:val="center"/>
        <w:rPr>
          <w:rFonts w:ascii="Times New Roman" w:hAnsi="Times New Roman"/>
          <w:b/>
          <w:bCs/>
          <w:szCs w:val="24"/>
        </w:rPr>
      </w:pPr>
      <w:r>
        <w:rPr>
          <w:rFonts w:ascii="Times New Roman" w:hAnsi="Times New Roman"/>
          <w:b/>
          <w:szCs w:val="24"/>
        </w:rPr>
        <w:t xml:space="preserve">Docket No. </w:t>
      </w:r>
      <w:r w:rsidR="006A11A2">
        <w:rPr>
          <w:rFonts w:ascii="Times New Roman" w:hAnsi="Times New Roman"/>
          <w:b/>
          <w:szCs w:val="24"/>
        </w:rPr>
        <w:t>41253</w:t>
      </w:r>
    </w:p>
    <w:p w14:paraId="1BADF64D" w14:textId="77777777" w:rsidR="0054132F" w:rsidRDefault="0054132F">
      <w:pPr>
        <w:pStyle w:val="TOC1"/>
      </w:pPr>
    </w:p>
    <w:p w14:paraId="7BCEB55F" w14:textId="77777777" w:rsidR="0054132F" w:rsidRDefault="002A0998">
      <w:pPr>
        <w:jc w:val="center"/>
        <w:rPr>
          <w:szCs w:val="24"/>
        </w:rPr>
      </w:pPr>
      <w:r>
        <w:rPr>
          <w:rFonts w:ascii="Times New Roman" w:hAnsi="Times New Roman"/>
          <w:sz w:val="24"/>
          <w:szCs w:val="24"/>
        </w:rPr>
        <w:t>TABLE OF CONTENTS</w:t>
      </w:r>
    </w:p>
    <w:p w14:paraId="4410EFB4" w14:textId="77777777" w:rsidR="0054132F" w:rsidRDefault="0054132F">
      <w:pPr>
        <w:jc w:val="center"/>
        <w:rPr>
          <w:sz w:val="28"/>
          <w:szCs w:val="24"/>
        </w:rPr>
      </w:pPr>
    </w:p>
    <w:p w14:paraId="58C89F56" w14:textId="77777777" w:rsidR="0054132F" w:rsidRPr="00776DD2" w:rsidRDefault="002A0998" w:rsidP="0023625C">
      <w:pPr>
        <w:pStyle w:val="TOC1"/>
      </w:pPr>
      <w:r w:rsidRPr="00776DD2">
        <w:t>1.</w:t>
      </w:r>
      <w:r w:rsidR="000533D5" w:rsidRPr="00776DD2" w:rsidDel="000533D5">
        <w:t xml:space="preserve"> </w:t>
      </w:r>
      <w:r w:rsidR="00B438AC" w:rsidRPr="00776DD2">
        <w:tab/>
      </w:r>
      <w:r w:rsidRPr="00776DD2">
        <w:t>Background</w:t>
      </w:r>
      <w:r w:rsidRPr="00776DD2">
        <w:tab/>
      </w:r>
      <w:r w:rsidR="00B438AC" w:rsidRPr="00776DD2">
        <w:t>1</w:t>
      </w:r>
    </w:p>
    <w:p w14:paraId="23958301" w14:textId="77777777" w:rsidR="0054132F" w:rsidRPr="00776DD2" w:rsidRDefault="000533D5">
      <w:pPr>
        <w:pStyle w:val="TOC1"/>
      </w:pPr>
      <w:r w:rsidRPr="00776DD2">
        <w:t>2</w:t>
      </w:r>
      <w:r w:rsidR="002A0998" w:rsidRPr="00776DD2">
        <w:t>.</w:t>
      </w:r>
      <w:r w:rsidR="002A0998" w:rsidRPr="00776DD2">
        <w:tab/>
        <w:t>Results of the Study</w:t>
      </w:r>
      <w:r w:rsidR="002A0998" w:rsidRPr="00776DD2">
        <w:tab/>
      </w:r>
      <w:r w:rsidR="00B438AC" w:rsidRPr="00776DD2">
        <w:t>2</w:t>
      </w:r>
    </w:p>
    <w:p w14:paraId="39CF9242" w14:textId="77777777" w:rsidR="0054132F" w:rsidRPr="00776DD2" w:rsidRDefault="000533D5">
      <w:pPr>
        <w:pStyle w:val="TOC1"/>
      </w:pPr>
      <w:r w:rsidRPr="00776DD2">
        <w:t>3</w:t>
      </w:r>
      <w:r w:rsidR="002A0998" w:rsidRPr="00776DD2">
        <w:t>.</w:t>
      </w:r>
      <w:r w:rsidR="002A0998" w:rsidRPr="00776DD2">
        <w:tab/>
        <w:t>Utility Planning and Policy Implications</w:t>
      </w:r>
      <w:r w:rsidR="002A0998" w:rsidRPr="00776DD2">
        <w:tab/>
      </w:r>
      <w:r w:rsidR="00317966" w:rsidRPr="00776DD2">
        <w:t>4</w:t>
      </w:r>
    </w:p>
    <w:p w14:paraId="6B2AC018" w14:textId="77777777" w:rsidR="0054132F" w:rsidRDefault="000533D5">
      <w:pPr>
        <w:pStyle w:val="TOC1"/>
      </w:pPr>
      <w:r w:rsidRPr="00776DD2">
        <w:t>4</w:t>
      </w:r>
      <w:r w:rsidR="002A0998" w:rsidRPr="00776DD2">
        <w:t>.</w:t>
      </w:r>
      <w:r w:rsidR="002A0998" w:rsidRPr="00776DD2">
        <w:tab/>
        <w:t>Conclusions and Recommendations</w:t>
      </w:r>
      <w:r w:rsidR="002A0998" w:rsidRPr="00776DD2">
        <w:tab/>
      </w:r>
      <w:r w:rsidR="006E119C" w:rsidRPr="00776DD2">
        <w:t>6</w:t>
      </w:r>
    </w:p>
    <w:p w14:paraId="62185BEB" w14:textId="77777777" w:rsidR="0054132F" w:rsidRDefault="0054132F"/>
    <w:p w14:paraId="5B8B224F" w14:textId="77777777" w:rsidR="0054132F" w:rsidRDefault="0054132F">
      <w:pPr>
        <w:sectPr w:rsidR="0054132F">
          <w:footerReference w:type="default" r:id="rId8"/>
          <w:pgSz w:w="12240" w:h="15840"/>
          <w:pgMar w:top="1440" w:right="1440" w:bottom="1440" w:left="1440" w:header="720" w:footer="720" w:gutter="0"/>
          <w:pgNumType w:fmt="lowerRoman" w:start="1"/>
          <w:cols w:space="720"/>
          <w:docGrid w:linePitch="360"/>
        </w:sectPr>
      </w:pPr>
    </w:p>
    <w:p w14:paraId="03B005AC" w14:textId="77777777" w:rsidR="0054132F" w:rsidRDefault="002A0998">
      <w:pPr>
        <w:jc w:val="center"/>
        <w:rPr>
          <w:rFonts w:ascii="Times New Roman" w:hAnsi="Times New Roman"/>
          <w:b/>
          <w:u w:val="single"/>
        </w:rPr>
      </w:pPr>
      <w:r>
        <w:rPr>
          <w:rFonts w:ascii="Times New Roman" w:hAnsi="Times New Roman"/>
          <w:b/>
          <w:sz w:val="24"/>
          <w:u w:val="single"/>
        </w:rPr>
        <w:t>APPENDICES</w:t>
      </w:r>
    </w:p>
    <w:p w14:paraId="12D64A37" w14:textId="77777777" w:rsidR="0054132F" w:rsidRDefault="0054132F"/>
    <w:p w14:paraId="41E9D255" w14:textId="128448FB" w:rsidR="0054132F" w:rsidRDefault="002A0998">
      <w:pPr>
        <w:pStyle w:val="TOC1"/>
      </w:pPr>
      <w:r>
        <w:t>TRADE SECRET - ACHIEVABLE ENERGY EFFICIENCY POTENTIAL ASSESSMENT</w:t>
      </w:r>
      <w:r>
        <w:tab/>
        <w:t>A-1</w:t>
      </w:r>
    </w:p>
    <w:p w14:paraId="4236E31E" w14:textId="19612B4D" w:rsidR="0054132F" w:rsidRDefault="002A0998">
      <w:pPr>
        <w:pStyle w:val="TOC1"/>
      </w:pPr>
      <w:r>
        <w:t>PUBLIC DISCLOSURE - ACHIEVABLE ENERGY EFFICIENCY POTENTIAL ASSESSMENT</w:t>
      </w:r>
      <w:r>
        <w:tab/>
        <w:t>A-2</w:t>
      </w:r>
    </w:p>
    <w:p w14:paraId="4EB3C060" w14:textId="77777777" w:rsidR="0054132F" w:rsidRDefault="0054132F">
      <w:pPr>
        <w:rPr>
          <w:rFonts w:ascii="Times New Roman" w:hAnsi="Times New Roman"/>
          <w:sz w:val="28"/>
          <w:szCs w:val="24"/>
        </w:rPr>
      </w:pPr>
    </w:p>
    <w:p w14:paraId="60E811D8" w14:textId="77777777" w:rsidR="0054132F" w:rsidRDefault="0054132F">
      <w:pPr>
        <w:spacing w:after="0" w:line="240" w:lineRule="auto"/>
        <w:rPr>
          <w:rFonts w:ascii="Times New Roman" w:hAnsi="Times New Roman"/>
          <w:sz w:val="24"/>
          <w:szCs w:val="24"/>
        </w:rPr>
        <w:sectPr w:rsidR="0054132F">
          <w:pgSz w:w="12240" w:h="15840"/>
          <w:pgMar w:top="1440" w:right="1440" w:bottom="1440" w:left="1440" w:header="720" w:footer="720" w:gutter="0"/>
          <w:cols w:space="720"/>
          <w:docGrid w:linePitch="360"/>
        </w:sectPr>
      </w:pPr>
    </w:p>
    <w:p w14:paraId="420165AF" w14:textId="77777777" w:rsidR="0054132F" w:rsidRDefault="002A0998" w:rsidP="0054132F">
      <w:pPr>
        <w:pStyle w:val="Heading1"/>
        <w:keepNext/>
        <w:rPr>
          <w:rFonts w:ascii="Times New Roman" w:hAnsi="Times New Roman" w:cs="Times New Roman"/>
          <w:sz w:val="24"/>
          <w:szCs w:val="24"/>
        </w:rPr>
      </w:pPr>
      <w:bookmarkStart w:id="1" w:name="_Toc315686932"/>
      <w:r>
        <w:rPr>
          <w:rFonts w:ascii="Times New Roman" w:hAnsi="Times New Roman" w:cs="Times New Roman"/>
          <w:sz w:val="24"/>
          <w:szCs w:val="24"/>
        </w:rPr>
        <w:t>Background</w:t>
      </w:r>
      <w:bookmarkEnd w:id="1"/>
    </w:p>
    <w:p w14:paraId="7BF47F27" w14:textId="293CD11C" w:rsidR="00730C3C" w:rsidRDefault="002A0998" w:rsidP="00C30FB3">
      <w:pPr>
        <w:pStyle w:val="BodyText"/>
        <w:ind w:firstLine="720"/>
      </w:pPr>
      <w:r>
        <w:t xml:space="preserve">Georgia Power submits this report to the Georgia Public Service Commission (the “Commission”) in accordance with the Commission’s Final Order for Docket No. </w:t>
      </w:r>
      <w:r w:rsidR="00827803">
        <w:t>40161</w:t>
      </w:r>
      <w:r w:rsidR="00553E40">
        <w:t>,</w:t>
      </w:r>
      <w:r w:rsidR="00E27E22">
        <w:t xml:space="preserve"> </w:t>
      </w:r>
      <w:r>
        <w:t xml:space="preserve">Georgia Power Company’s Application for Approval of its </w:t>
      </w:r>
      <w:r w:rsidR="00E27E22">
        <w:t>201</w:t>
      </w:r>
      <w:r w:rsidR="00827803">
        <w:t>6</w:t>
      </w:r>
      <w:r w:rsidR="00E27E22">
        <w:t xml:space="preserve"> </w:t>
      </w:r>
      <w:r w:rsidR="00553E40">
        <w:t>Integrated Resource Plan</w:t>
      </w:r>
      <w:r>
        <w:t xml:space="preserve"> and Docket No. </w:t>
      </w:r>
      <w:r w:rsidR="00827803">
        <w:t>40162</w:t>
      </w:r>
      <w:r w:rsidR="00553E40">
        <w:t>,</w:t>
      </w:r>
      <w:r w:rsidR="00E27E22">
        <w:t xml:space="preserve"> </w:t>
      </w:r>
      <w:r>
        <w:t>Georgia Power Company’s Application for the Certification</w:t>
      </w:r>
      <w:r w:rsidR="00827803">
        <w:t>, Decertification,</w:t>
      </w:r>
      <w:r w:rsidR="00776DD2">
        <w:t xml:space="preserve"> </w:t>
      </w:r>
      <w:r w:rsidR="00827803">
        <w:t>and</w:t>
      </w:r>
      <w:r w:rsidR="000533D5">
        <w:t xml:space="preserve"> Amended </w:t>
      </w:r>
      <w:r>
        <w:t>Demand</w:t>
      </w:r>
      <w:r w:rsidR="000533D5">
        <w:t xml:space="preserve"> </w:t>
      </w:r>
      <w:r>
        <w:t xml:space="preserve">Side Management </w:t>
      </w:r>
      <w:r w:rsidR="00553E40">
        <w:t xml:space="preserve">(“DSM”) </w:t>
      </w:r>
      <w:r>
        <w:t xml:space="preserve">Plan.  </w:t>
      </w:r>
      <w:r w:rsidR="005E45B3">
        <w:t xml:space="preserve">The Final Order specifies the use of the </w:t>
      </w:r>
      <w:r w:rsidR="000533D5" w:rsidRPr="000533D5">
        <w:t>DSM Program Planning Approach</w:t>
      </w:r>
      <w:r w:rsidR="005E45B3">
        <w:t xml:space="preserve"> for the 201</w:t>
      </w:r>
      <w:r w:rsidR="00827803">
        <w:t>9</w:t>
      </w:r>
      <w:r w:rsidR="005E45B3">
        <w:t xml:space="preserve"> IRP</w:t>
      </w:r>
      <w:r w:rsidR="00192874">
        <w:t xml:space="preserve"> which </w:t>
      </w:r>
      <w:r w:rsidR="00730C3C">
        <w:t xml:space="preserve">outlines the requirement for the Company to prepare </w:t>
      </w:r>
      <w:r w:rsidR="00BC7F6E">
        <w:t>an energy efficiency potential study</w:t>
      </w:r>
      <w:r w:rsidR="005E45B3">
        <w:t>:</w:t>
      </w:r>
    </w:p>
    <w:p w14:paraId="6DBF021D" w14:textId="77777777" w:rsidR="00080A81" w:rsidRDefault="00080A81" w:rsidP="00730C3C">
      <w:pPr>
        <w:pStyle w:val="BodyText"/>
        <w:ind w:left="720" w:firstLine="720"/>
        <w:rPr>
          <w:i/>
        </w:rPr>
      </w:pPr>
    </w:p>
    <w:p w14:paraId="53C0F19E" w14:textId="414105C9" w:rsidR="0054132F" w:rsidRPr="00730C3C" w:rsidRDefault="000533D5" w:rsidP="00730C3C">
      <w:pPr>
        <w:pStyle w:val="BodyText"/>
        <w:ind w:left="720" w:firstLine="720"/>
        <w:rPr>
          <w:i/>
        </w:rPr>
      </w:pPr>
      <w:r w:rsidRPr="00730C3C">
        <w:rPr>
          <w:i/>
        </w:rPr>
        <w:t>“Georgia Power will utilize a technical and economic potential study for Georgia Power’s service territory to assist in targeting DSM programs in the areas where the highest market potential exists.  For the 201</w:t>
      </w:r>
      <w:r w:rsidR="00827803">
        <w:rPr>
          <w:i/>
        </w:rPr>
        <w:t>9</w:t>
      </w:r>
      <w:r w:rsidRPr="00730C3C">
        <w:rPr>
          <w:i/>
        </w:rPr>
        <w:t xml:space="preserve"> IRP, Georgia Power will file a new energy efficiency potential study one year in advance of the 201</w:t>
      </w:r>
      <w:r w:rsidR="00827803">
        <w:rPr>
          <w:i/>
        </w:rPr>
        <w:t>9</w:t>
      </w:r>
      <w:r w:rsidRPr="00730C3C">
        <w:rPr>
          <w:i/>
        </w:rPr>
        <w:t xml:space="preserve"> IRP filing.”</w:t>
      </w:r>
      <w:r w:rsidR="002A0998" w:rsidRPr="00730C3C">
        <w:rPr>
          <w:i/>
        </w:rPr>
        <w:t xml:space="preserve"> </w:t>
      </w:r>
    </w:p>
    <w:p w14:paraId="2C022792" w14:textId="77777777" w:rsidR="00080A81" w:rsidRDefault="00080A81">
      <w:pPr>
        <w:pStyle w:val="BodyText"/>
        <w:ind w:firstLine="720"/>
      </w:pPr>
    </w:p>
    <w:p w14:paraId="69B4D877" w14:textId="6EBE666D" w:rsidR="0054132F" w:rsidRDefault="008F2114">
      <w:pPr>
        <w:pStyle w:val="BodyText"/>
        <w:ind w:firstLine="720"/>
      </w:pPr>
      <w:r>
        <w:t>T</w:t>
      </w:r>
      <w:r w:rsidR="002A0998">
        <w:t xml:space="preserve">he </w:t>
      </w:r>
      <w:r w:rsidR="00322C11">
        <w:t>DSM Program Planning Approach</w:t>
      </w:r>
      <w:r w:rsidR="000533D5">
        <w:t xml:space="preserve"> includes nine specific steps that address the preparation of the</w:t>
      </w:r>
      <w:r w:rsidR="005E45B3">
        <w:t xml:space="preserve"> DSM plan for the 201</w:t>
      </w:r>
      <w:r w:rsidR="00827803">
        <w:t>9</w:t>
      </w:r>
      <w:r w:rsidR="005E45B3">
        <w:t xml:space="preserve"> IRP</w:t>
      </w:r>
      <w:r w:rsidR="00B438AC">
        <w:t>.</w:t>
      </w:r>
      <w:r w:rsidR="00BC7F6E">
        <w:t xml:space="preserve">  </w:t>
      </w:r>
      <w:r w:rsidR="002A0998">
        <w:t xml:space="preserve">Specifically, steps one through three discuss the process of preparing this report, including the hiring of a third-party consultant, </w:t>
      </w:r>
      <w:r w:rsidR="00827803">
        <w:t xml:space="preserve">preparing an </w:t>
      </w:r>
      <w:r w:rsidR="002A0998">
        <w:t>energy-efficiency “Techn</w:t>
      </w:r>
      <w:r w:rsidR="00827803">
        <w:t>ical Reference Manual</w:t>
      </w:r>
      <w:r w:rsidR="00322C11">
        <w:t>,</w:t>
      </w:r>
      <w:r w:rsidR="002A0998">
        <w:t xml:space="preserve">” and using the results of this energy-efficiency potential study to “assist in targeting DSM programs in the areas where the highest market potential exists.”  </w:t>
      </w:r>
      <w:r w:rsidR="002A0998" w:rsidRPr="00FA1F32">
        <w:t>The Company collaborated with the Demand Side Management Working Group (“DSMWG”) throughout the process of preparing this report.  Th</w:t>
      </w:r>
      <w:r w:rsidR="002A0998" w:rsidRPr="00967704">
        <w:t xml:space="preserve">is collaboration began with the DSMWG helping the Company identify energy-efficiency measures to include in the </w:t>
      </w:r>
      <w:r w:rsidR="00D81BA6" w:rsidRPr="00DC3022">
        <w:t xml:space="preserve">Technical Reference Manual, </w:t>
      </w:r>
      <w:r w:rsidR="002A0998" w:rsidRPr="00FA1F32">
        <w:t>reviewing and commenting on the potential study</w:t>
      </w:r>
      <w:r w:rsidR="00DD6A4E" w:rsidRPr="00FA1F32">
        <w:t>’s</w:t>
      </w:r>
      <w:r w:rsidR="002A0998" w:rsidRPr="00967704">
        <w:t xml:space="preserve"> analytical methodologies, and continued with the </w:t>
      </w:r>
      <w:r w:rsidR="00730C3C" w:rsidRPr="00967704">
        <w:t xml:space="preserve">Company </w:t>
      </w:r>
      <w:r w:rsidR="002A0998" w:rsidRPr="00967704">
        <w:t xml:space="preserve">sharing specific technical information on certain energy-efficiency measures </w:t>
      </w:r>
      <w:r w:rsidR="005E45B3" w:rsidRPr="00967704">
        <w:t>through the Techn</w:t>
      </w:r>
      <w:r w:rsidR="00D81BA6" w:rsidRPr="00DC3022">
        <w:t xml:space="preserve">ical Reference Manual </w:t>
      </w:r>
      <w:r w:rsidR="00FE6D90" w:rsidRPr="00FA1F32">
        <w:t>as detailed in step three</w:t>
      </w:r>
      <w:r w:rsidR="00D81BA6" w:rsidRPr="00DC3022">
        <w:t xml:space="preserve"> of the DSM Program Planning Approach</w:t>
      </w:r>
      <w:r w:rsidR="002A0998" w:rsidRPr="00FA1F32">
        <w:t>.</w:t>
      </w:r>
    </w:p>
    <w:p w14:paraId="59E1318F" w14:textId="6CD42B20" w:rsidR="0054132F" w:rsidRDefault="002A0998">
      <w:pPr>
        <w:pStyle w:val="BodyText"/>
        <w:ind w:firstLine="720"/>
      </w:pPr>
      <w:r>
        <w:t xml:space="preserve">The Company hired Nexant, Inc. (“Nexant”) to provide services in support of these requirements, including preparation of the </w:t>
      </w:r>
      <w:r w:rsidR="00827803">
        <w:t>Technical Reference Manual</w:t>
      </w:r>
      <w:r>
        <w:t xml:space="preserve"> and energy-efficiency potential study</w:t>
      </w:r>
      <w:r w:rsidR="002064F6">
        <w:t xml:space="preserve">, using </w:t>
      </w:r>
      <w:r w:rsidR="00FA1F32">
        <w:t>a similar</w:t>
      </w:r>
      <w:r w:rsidR="002064F6">
        <w:t xml:space="preserve"> methodology and approach </w:t>
      </w:r>
      <w:r w:rsidR="00161489">
        <w:t xml:space="preserve">as that </w:t>
      </w:r>
      <w:r w:rsidR="002064F6">
        <w:t>employed in 201</w:t>
      </w:r>
      <w:r w:rsidR="00827803">
        <w:t>5</w:t>
      </w:r>
      <w:r w:rsidR="002064F6">
        <w:t xml:space="preserve"> for the Company’s most recent potential study</w:t>
      </w:r>
      <w:r w:rsidR="00730C3C">
        <w:t xml:space="preserve">.  </w:t>
      </w:r>
      <w:r w:rsidR="00DD6A4E">
        <w:t xml:space="preserve">These studies </w:t>
      </w:r>
      <w:r w:rsidR="008D2449">
        <w:t>estimate efficiency potential with</w:t>
      </w:r>
      <w:r w:rsidR="002064F6">
        <w:t>in the context of current laws and regulations</w:t>
      </w:r>
      <w:r>
        <w:t>.</w:t>
      </w:r>
      <w:r w:rsidR="008D2449">
        <w:t xml:space="preserve">  </w:t>
      </w:r>
      <w:r>
        <w:t xml:space="preserve"> Nexant </w:t>
      </w:r>
      <w:r w:rsidR="00827803">
        <w:t xml:space="preserve">is a </w:t>
      </w:r>
      <w:r>
        <w:t>nationally-recognized consulting firm</w:t>
      </w:r>
      <w:r w:rsidR="00FA1F32">
        <w:t xml:space="preserve"> and</w:t>
      </w:r>
      <w:r w:rsidR="00746F79">
        <w:t xml:space="preserve"> has</w:t>
      </w:r>
      <w:r>
        <w:t xml:space="preserve"> recently conducted energy-efficiency potential studies of similar scope in other states.</w:t>
      </w:r>
      <w:r w:rsidR="00412943">
        <w:t xml:space="preserve">  </w:t>
      </w:r>
    </w:p>
    <w:p w14:paraId="2F371D1B" w14:textId="45E33975" w:rsidR="0054132F" w:rsidRDefault="002A0998">
      <w:pPr>
        <w:pStyle w:val="BodyText"/>
        <w:ind w:firstLine="720"/>
      </w:pPr>
      <w:r>
        <w:t xml:space="preserve">This report provides an updated energy-efficiency study similar to the Company’s </w:t>
      </w:r>
      <w:r w:rsidR="008F2114">
        <w:t xml:space="preserve">previous </w:t>
      </w:r>
      <w:r>
        <w:t>energy-efficiency potential stud</w:t>
      </w:r>
      <w:r w:rsidR="008F2114">
        <w:t>ies</w:t>
      </w:r>
      <w:r>
        <w:t xml:space="preserve"> (“Georgia Power Company’s Report on Achievable Energy Efficiency Potential</w:t>
      </w:r>
      <w:r w:rsidR="00FA1F32">
        <w:t>s</w:t>
      </w:r>
      <w:r>
        <w:t xml:space="preserve"> Assessment”)</w:t>
      </w:r>
      <w:r w:rsidR="008F2114">
        <w:t>,</w:t>
      </w:r>
      <w:r>
        <w:t xml:space="preserve"> filed with the Commission </w:t>
      </w:r>
      <w:r w:rsidR="005E45B3">
        <w:t>in 2007</w:t>
      </w:r>
      <w:r w:rsidR="00827803">
        <w:t xml:space="preserve">, </w:t>
      </w:r>
      <w:r w:rsidR="005E45B3">
        <w:t>2012</w:t>
      </w:r>
      <w:r w:rsidR="00827803">
        <w:t>, and 2015</w:t>
      </w:r>
      <w:r w:rsidR="00730C3C">
        <w:t xml:space="preserve"> </w:t>
      </w:r>
      <w:r w:rsidR="005E45B3">
        <w:t>under Dockets 22449</w:t>
      </w:r>
      <w:r w:rsidR="00383FDC">
        <w:t>-U</w:t>
      </w:r>
      <w:r w:rsidR="00827803">
        <w:t xml:space="preserve">, </w:t>
      </w:r>
      <w:r w:rsidR="005E45B3">
        <w:t>34414</w:t>
      </w:r>
      <w:r w:rsidR="00730C3C">
        <w:t>,</w:t>
      </w:r>
      <w:r w:rsidR="00827803">
        <w:t xml:space="preserve"> and 38401</w:t>
      </w:r>
      <w:r w:rsidR="00730C3C">
        <w:t xml:space="preserve"> respectively</w:t>
      </w:r>
      <w:r w:rsidR="005E45B3">
        <w:t>.</w:t>
      </w:r>
      <w:r>
        <w:t xml:space="preserve"> </w:t>
      </w:r>
      <w:r w:rsidR="00FE6D90">
        <w:t xml:space="preserve">These energy-efficiency potential studies are comprehensive analytical undertakings, requiring a substantial commitment of Company and consultant time and expense to prepare.  </w:t>
      </w:r>
      <w:r w:rsidR="000D794B">
        <w:t xml:space="preserve">  </w:t>
      </w:r>
    </w:p>
    <w:p w14:paraId="70646CB2" w14:textId="77777777" w:rsidR="0054132F" w:rsidRDefault="0054132F">
      <w:pPr>
        <w:pStyle w:val="BodyText"/>
        <w:ind w:firstLine="720"/>
      </w:pPr>
    </w:p>
    <w:p w14:paraId="57AAEB56" w14:textId="77777777" w:rsidR="0054132F" w:rsidRDefault="002A0998">
      <w:pPr>
        <w:pStyle w:val="Heading1"/>
        <w:keepNext/>
        <w:rPr>
          <w:rFonts w:ascii="Times New Roman" w:hAnsi="Times New Roman" w:cs="Times New Roman"/>
          <w:sz w:val="24"/>
          <w:szCs w:val="24"/>
        </w:rPr>
      </w:pPr>
      <w:bookmarkStart w:id="2" w:name="_Toc315686933"/>
      <w:r>
        <w:rPr>
          <w:rFonts w:ascii="Times New Roman" w:hAnsi="Times New Roman" w:cs="Times New Roman"/>
          <w:sz w:val="24"/>
          <w:szCs w:val="24"/>
        </w:rPr>
        <w:t>Results of the Study</w:t>
      </w:r>
      <w:bookmarkEnd w:id="2"/>
    </w:p>
    <w:p w14:paraId="53133A0D" w14:textId="0BD7CF4F" w:rsidR="0054132F" w:rsidRDefault="002A0998">
      <w:pPr>
        <w:pStyle w:val="BodyText"/>
        <w:ind w:firstLine="720"/>
      </w:pPr>
      <w:r>
        <w:t xml:space="preserve">The study estimates the technical, economic, and achievable potential for energy-efficiency technologies for the Company’s residential, commercial, and industrial customers for the study period of </w:t>
      </w:r>
      <w:r w:rsidR="008F2114" w:rsidRPr="00327E09">
        <w:t>201</w:t>
      </w:r>
      <w:r w:rsidR="00327E09" w:rsidRPr="00327E09">
        <w:t>9</w:t>
      </w:r>
      <w:r w:rsidR="008F2114" w:rsidRPr="00327E09">
        <w:t xml:space="preserve"> </w:t>
      </w:r>
      <w:r w:rsidRPr="00327E09">
        <w:t>- 20</w:t>
      </w:r>
      <w:r w:rsidR="00327E09" w:rsidRPr="00327E09">
        <w:t>30</w:t>
      </w:r>
      <w:r>
        <w:t>.  The technical potential includes all energy-efficiency measures suitable for the Company’s customers, climate, building stock, and production facilities</w:t>
      </w:r>
      <w:r w:rsidR="00192874">
        <w:t>,</w:t>
      </w:r>
      <w:r>
        <w:t xml:space="preserve"> and assumes there are no economic or other market barriers preventing customers from installing these measures.  The economic potential is defined as taking all the technically-feasible measures and installing all that are economic, as defined by the Total Resource Cost (“TRC”) Test.  The TRC Test is described fully in the attached report</w:t>
      </w:r>
      <w:r w:rsidR="00192874">
        <w:t>,</w:t>
      </w:r>
      <w:r>
        <w:t xml:space="preserve"> </w:t>
      </w:r>
      <w:r w:rsidR="00192874">
        <w:t>however</w:t>
      </w:r>
      <w:r>
        <w:t xml:space="preserve"> in general terms</w:t>
      </w:r>
      <w:r w:rsidR="00192874">
        <w:t>, the test</w:t>
      </w:r>
      <w:r>
        <w:t xml:space="preserve"> is a measure of net societal value that compares the benefits of avoided utility supply costs (including electricity, natural gas, and water) with the costs to achieve those savings</w:t>
      </w:r>
      <w:r w:rsidR="00192874">
        <w:t xml:space="preserve"> (incremental measure costs)</w:t>
      </w:r>
      <w:r>
        <w:t>.</w:t>
      </w:r>
      <w:r w:rsidR="00730C3C">
        <w:t xml:space="preserve">  Other cost tests measure economic attractiveness from the participant’s perspective (the Participant Cost Test)</w:t>
      </w:r>
      <w:r w:rsidR="00DD6A4E">
        <w:t>, the</w:t>
      </w:r>
      <w:r w:rsidR="00730C3C">
        <w:t xml:space="preserve"> non-participant</w:t>
      </w:r>
      <w:r w:rsidR="00DD6A4E">
        <w:t>’</w:t>
      </w:r>
      <w:r w:rsidR="00730C3C">
        <w:t>s perspective (the Ratepayer Impact Measure Test)</w:t>
      </w:r>
      <w:r w:rsidR="00DD6A4E">
        <w:t xml:space="preserve">, and the utility’s perspective (the </w:t>
      </w:r>
      <w:r w:rsidR="002F77E2">
        <w:t>Program Administrator Cost</w:t>
      </w:r>
      <w:r w:rsidR="00DD6A4E">
        <w:t xml:space="preserve"> Test)</w:t>
      </w:r>
      <w:r w:rsidR="00730C3C">
        <w:t xml:space="preserve">. </w:t>
      </w:r>
    </w:p>
    <w:p w14:paraId="23A6EF93" w14:textId="77777777" w:rsidR="0054132F" w:rsidRDefault="002A0998">
      <w:pPr>
        <w:pStyle w:val="BodyText"/>
        <w:ind w:firstLine="720"/>
      </w:pPr>
      <w:r>
        <w:t xml:space="preserve">The achievable potential included in this report consists of </w:t>
      </w:r>
      <w:r w:rsidR="00322C11">
        <w:t xml:space="preserve">four </w:t>
      </w:r>
      <w:r>
        <w:t xml:space="preserve">planning scenarios based on different levels of incentives provided by the Company to customers to encourage the purchase and installation of energy-efficiency measures.  Since this study estimates the </w:t>
      </w:r>
      <w:r w:rsidRPr="00D24865">
        <w:rPr>
          <w:u w:val="single"/>
        </w:rPr>
        <w:t>t</w:t>
      </w:r>
      <w:r>
        <w:t xml:space="preserve">echnical, </w:t>
      </w:r>
      <w:r w:rsidRPr="00D24865">
        <w:rPr>
          <w:u w:val="single"/>
        </w:rPr>
        <w:t>e</w:t>
      </w:r>
      <w:r>
        <w:t xml:space="preserve">conomic, and </w:t>
      </w:r>
      <w:r w:rsidRPr="00D24865">
        <w:rPr>
          <w:u w:val="single"/>
        </w:rPr>
        <w:t>a</w:t>
      </w:r>
      <w:r>
        <w:t xml:space="preserve">chievable </w:t>
      </w:r>
      <w:r w:rsidRPr="00D24865">
        <w:rPr>
          <w:u w:val="single"/>
        </w:rPr>
        <w:t>pot</w:t>
      </w:r>
      <w:r>
        <w:t>ential, it is also referred to as the “TEAPOT” study.  This TEAPOT study was conducted using industry-standard methodologies.  Please see the report for detailed descriptions of the methodologies used to estimate energy-efficiency potential.</w:t>
      </w:r>
    </w:p>
    <w:p w14:paraId="56418EA0" w14:textId="57341CA6" w:rsidR="0054132F" w:rsidRDefault="002A0998">
      <w:pPr>
        <w:pStyle w:val="BodyText"/>
        <w:ind w:firstLine="720"/>
      </w:pPr>
      <w:r w:rsidRPr="00FA1F32">
        <w:t xml:space="preserve">The TEAPOT study estimates that approximately one-quarter of the Company’s energy forecast for the year </w:t>
      </w:r>
      <w:r w:rsidR="008F2114" w:rsidRPr="00FA1F32">
        <w:t>20</w:t>
      </w:r>
      <w:r w:rsidR="0049397F" w:rsidRPr="00DC3022">
        <w:t>30</w:t>
      </w:r>
      <w:r w:rsidR="008F2114" w:rsidRPr="00FA1F32">
        <w:t xml:space="preserve"> </w:t>
      </w:r>
      <w:r w:rsidR="002F77E2" w:rsidRPr="00FA1F32">
        <w:t xml:space="preserve">could be avoided with technically </w:t>
      </w:r>
      <w:r w:rsidRPr="00FA1F32">
        <w:t xml:space="preserve">feasible energy-efficiency measures.  If all </w:t>
      </w:r>
      <w:r w:rsidR="002F77E2" w:rsidRPr="00C122CF">
        <w:t>economically feasible</w:t>
      </w:r>
      <w:r w:rsidRPr="00C122CF">
        <w:t xml:space="preserve"> measures were installed, a smaller amount (</w:t>
      </w:r>
      <w:r w:rsidR="008D2449" w:rsidRPr="00FA1F32">
        <w:t>about</w:t>
      </w:r>
      <w:r w:rsidR="00EA2EF0" w:rsidRPr="00FA1F32">
        <w:t xml:space="preserve"> </w:t>
      </w:r>
      <w:r w:rsidRPr="00FA1F32">
        <w:t>one-</w:t>
      </w:r>
      <w:r w:rsidR="00C122CF">
        <w:t>sixth</w:t>
      </w:r>
      <w:r w:rsidRPr="00FA1F32">
        <w:t xml:space="preserve">) of the energy forecast for </w:t>
      </w:r>
      <w:r w:rsidR="00303877" w:rsidRPr="00FA1F32">
        <w:t>20</w:t>
      </w:r>
      <w:r w:rsidR="0049397F" w:rsidRPr="00DC3022">
        <w:t>30</w:t>
      </w:r>
      <w:r w:rsidR="00303877" w:rsidRPr="00FA1F32">
        <w:t xml:space="preserve"> </w:t>
      </w:r>
      <w:r w:rsidRPr="00FA1F32">
        <w:t>could be avoided</w:t>
      </w:r>
      <w:r w:rsidR="00192874" w:rsidRPr="00FA1F32">
        <w:t xml:space="preserve"> (Table 5 in the attached report)</w:t>
      </w:r>
      <w:r w:rsidRPr="00C122CF">
        <w:t>.</w:t>
      </w:r>
      <w:r>
        <w:t xml:space="preserve">  </w:t>
      </w:r>
    </w:p>
    <w:p w14:paraId="2C09811E" w14:textId="77777777" w:rsidR="0054132F" w:rsidRDefault="002A0998">
      <w:pPr>
        <w:pStyle w:val="BodyText"/>
        <w:ind w:firstLine="720"/>
      </w:pPr>
      <w:r>
        <w:t xml:space="preserve">While the technical and economic potential estimates are useful in providing a context of the total available market, these estimates are strictly hypothetical calculations that bear </w:t>
      </w:r>
      <w:r w:rsidR="008649CA">
        <w:t>little-to-no</w:t>
      </w:r>
      <w:r>
        <w:t xml:space="preserve"> relation to a reasonable estimate of what could be achieved in the market.  When considering real-world barriers, estimates of what can be achieved in the market are significantly lower than the economic potential.  For example, many measures require a significant upfront payment to install, requiring homeowners or business owners to make a trade-off between the somewhat uncertain future return on investment from energy</w:t>
      </w:r>
      <w:r w:rsidR="00DD6A4E">
        <w:t>-</w:t>
      </w:r>
      <w:r>
        <w:t xml:space="preserve">efficient technologies with other competing uses for homeowners’ cash, savings, and investment funds or for business owners’ capital and maintenance budgets.  Other structural issues, such as a tenant/landlord relationship (where the equipment purchaser is not the energy bill payer), can inhibit the purchase and implementation of energy-efficiency measures.  </w:t>
      </w:r>
    </w:p>
    <w:p w14:paraId="03AB3272" w14:textId="18E19F5B" w:rsidR="000D794B" w:rsidRDefault="002A0998">
      <w:pPr>
        <w:pStyle w:val="BodyText"/>
        <w:ind w:firstLine="720"/>
      </w:pPr>
      <w:r>
        <w:t xml:space="preserve">Even with these barriers, significant economic stimuli exist today without utility incentives to justify higher levels of adoption for many energy-efficiency measures if customers acted solely on the basis of economic returns.  Since </w:t>
      </w:r>
      <w:r w:rsidR="00D24865">
        <w:t xml:space="preserve">some </w:t>
      </w:r>
      <w:r>
        <w:t xml:space="preserve">customers don’t always act in a rational economic manner, </w:t>
      </w:r>
      <w:r w:rsidR="00303877">
        <w:t xml:space="preserve">four </w:t>
      </w:r>
      <w:r>
        <w:t>different levels of incentives were used to overcome customer and institutional barriers to determine the achievable potential</w:t>
      </w:r>
      <w:r w:rsidRPr="00852CEF">
        <w:t xml:space="preserve">.  </w:t>
      </w:r>
      <w:r w:rsidRPr="00C122CF">
        <w:t>The results show hypothetical achievable energy savings</w:t>
      </w:r>
      <w:r w:rsidR="00DD6A4E" w:rsidRPr="00C122CF">
        <w:t>,</w:t>
      </w:r>
      <w:r w:rsidRPr="00C122CF">
        <w:t xml:space="preserve"> ranging from about </w:t>
      </w:r>
      <w:r w:rsidR="00F20442">
        <w:t>4.6</w:t>
      </w:r>
      <w:r w:rsidRPr="00C122CF">
        <w:t xml:space="preserve">% to </w:t>
      </w:r>
      <w:r w:rsidR="00746F79">
        <w:t xml:space="preserve">about </w:t>
      </w:r>
      <w:r w:rsidR="00155DDD" w:rsidRPr="00DC3022">
        <w:t>9</w:t>
      </w:r>
      <w:r w:rsidR="00F20442">
        <w:t>.3</w:t>
      </w:r>
      <w:r w:rsidRPr="00C122CF">
        <w:t>% of forecasted 20</w:t>
      </w:r>
      <w:r w:rsidR="00327E09" w:rsidRPr="00DC3022">
        <w:t>30</w:t>
      </w:r>
      <w:r w:rsidRPr="00C122CF">
        <w:t xml:space="preserve"> energy sales</w:t>
      </w:r>
      <w:r w:rsidR="00746F79">
        <w:t>,</w:t>
      </w:r>
      <w:r w:rsidRPr="00C122CF">
        <w:t xml:space="preserve"> depending on the level of incentives paid to customers (Table 1 in the attached report).</w:t>
      </w:r>
    </w:p>
    <w:p w14:paraId="59BAEB05" w14:textId="21FB3B92" w:rsidR="0054132F" w:rsidRDefault="002A0998">
      <w:pPr>
        <w:pStyle w:val="BodyText"/>
        <w:ind w:firstLine="720"/>
      </w:pPr>
      <w:r>
        <w:t>The study further shows that the achievable energy-efficiency potential</w:t>
      </w:r>
      <w:r w:rsidR="00F22162">
        <w:t xml:space="preserve"> provides significant TRC net benefits, however they</w:t>
      </w:r>
      <w:r>
        <w:t xml:space="preserve"> come at a </w:t>
      </w:r>
      <w:r w:rsidR="00F20442">
        <w:t xml:space="preserve">significant </w:t>
      </w:r>
      <w:r w:rsidR="00F22162">
        <w:t xml:space="preserve">rate impact </w:t>
      </w:r>
      <w:r>
        <w:t xml:space="preserve">to Georgia Power customers, </w:t>
      </w:r>
      <w:r w:rsidR="000D794B">
        <w:t>particularly those</w:t>
      </w:r>
      <w:r>
        <w:t xml:space="preserve"> customers who do </w:t>
      </w:r>
      <w:r w:rsidR="00DD6A4E">
        <w:t xml:space="preserve">not </w:t>
      </w:r>
      <w:r w:rsidR="000D794B">
        <w:t>participate in the programs</w:t>
      </w:r>
      <w:r>
        <w:t xml:space="preserve">.  </w:t>
      </w:r>
      <w:r w:rsidR="00F22162" w:rsidRPr="00F22162">
        <w:t xml:space="preserve">Theoretically, TRC net benefits of between $2.0 and $4.0 billion can be achieved, at a RIM net cost </w:t>
      </w:r>
      <w:r w:rsidR="00F22162">
        <w:t xml:space="preserve">of </w:t>
      </w:r>
      <w:r w:rsidR="00F22162" w:rsidRPr="00F22162">
        <w:t>between $2.4 and $6.3 bi</w:t>
      </w:r>
      <w:r w:rsidR="00F22162">
        <w:t xml:space="preserve">llion to electricity customers </w:t>
      </w:r>
      <w:r w:rsidR="00DD6A4E" w:rsidRPr="00C122CF">
        <w:t xml:space="preserve">(Table 2 in the attached report).  </w:t>
      </w:r>
      <w:r w:rsidR="00DD6A4E" w:rsidRPr="00327E09">
        <w:t>These impacts</w:t>
      </w:r>
      <w:r w:rsidRPr="00327E09">
        <w:t xml:space="preserve"> occur over the life of the installed measures due to program administration costs, customer incentive costs, </w:t>
      </w:r>
      <w:r w:rsidR="00C37292" w:rsidRPr="0058488D">
        <w:t xml:space="preserve">and </w:t>
      </w:r>
      <w:r w:rsidR="00B7769A" w:rsidRPr="0058488D">
        <w:t xml:space="preserve">the re-allocation of fixed costs embedded in </w:t>
      </w:r>
      <w:r w:rsidR="00404015">
        <w:t>Georgia Power’s</w:t>
      </w:r>
      <w:r w:rsidR="00404015" w:rsidRPr="0058488D">
        <w:t xml:space="preserve"> </w:t>
      </w:r>
      <w:r w:rsidR="00B7769A" w:rsidRPr="0058488D">
        <w:t xml:space="preserve">current </w:t>
      </w:r>
      <w:r w:rsidR="00C37292" w:rsidRPr="0058488D">
        <w:t>rate design.</w:t>
      </w:r>
    </w:p>
    <w:p w14:paraId="72D71414" w14:textId="77777777" w:rsidR="0054132F" w:rsidRDefault="0054132F">
      <w:pPr>
        <w:pStyle w:val="BodyText"/>
      </w:pPr>
    </w:p>
    <w:p w14:paraId="402A275F" w14:textId="77777777" w:rsidR="00080A81" w:rsidRDefault="00080A81">
      <w:pPr>
        <w:pStyle w:val="BodyText"/>
      </w:pPr>
    </w:p>
    <w:p w14:paraId="2C3534C4" w14:textId="77777777" w:rsidR="0054132F" w:rsidRPr="00080A81" w:rsidRDefault="00080A81" w:rsidP="00080A81">
      <w:pPr>
        <w:pStyle w:val="Heading1"/>
        <w:keepNext/>
        <w:rPr>
          <w:rFonts w:ascii="Times New Roman" w:hAnsi="Times New Roman" w:cs="Times New Roman"/>
          <w:sz w:val="24"/>
          <w:szCs w:val="24"/>
        </w:rPr>
      </w:pPr>
      <w:bookmarkStart w:id="3" w:name="_Toc315686934"/>
      <w:r>
        <w:rPr>
          <w:rFonts w:ascii="Times New Roman" w:hAnsi="Times New Roman" w:cs="Times New Roman"/>
          <w:sz w:val="24"/>
          <w:szCs w:val="24"/>
        </w:rPr>
        <w:t>U</w:t>
      </w:r>
      <w:r w:rsidR="002A0998" w:rsidRPr="00080A81">
        <w:rPr>
          <w:rFonts w:ascii="Times New Roman" w:hAnsi="Times New Roman" w:cs="Times New Roman"/>
          <w:sz w:val="24"/>
          <w:szCs w:val="24"/>
        </w:rPr>
        <w:t>tility Planning and Policy Implications</w:t>
      </w:r>
      <w:bookmarkEnd w:id="3"/>
    </w:p>
    <w:p w14:paraId="10360119" w14:textId="750F8B5B" w:rsidR="0054132F" w:rsidRDefault="002A0998">
      <w:pPr>
        <w:pStyle w:val="BodyText"/>
        <w:ind w:firstLine="720"/>
      </w:pPr>
      <w:r>
        <w:t xml:space="preserve">The detailed analysis and results of this comprehensive study are useful </w:t>
      </w:r>
      <w:r w:rsidR="0012212E">
        <w:t xml:space="preserve">in guiding </w:t>
      </w:r>
      <w:r>
        <w:t>energy-efficiency program design.  Utility planners use the results to provide direction in designing future energy-efficiency programs</w:t>
      </w:r>
      <w:r w:rsidR="0012212E">
        <w:t>,</w:t>
      </w:r>
      <w:r>
        <w:t xml:space="preserve"> as well as monitor</w:t>
      </w:r>
      <w:r w:rsidR="00B05557">
        <w:t>ing</w:t>
      </w:r>
      <w:r>
        <w:t xml:space="preserve"> the relative economics of energy-efficiency programs</w:t>
      </w:r>
      <w:r w:rsidR="0012212E">
        <w:t xml:space="preserve"> compared to supply-side options.</w:t>
      </w:r>
      <w:r>
        <w:t xml:space="preserve"> </w:t>
      </w:r>
      <w:r w:rsidR="00D24865">
        <w:t xml:space="preserve"> </w:t>
      </w:r>
      <w:r>
        <w:t>Policymakers can use the results to understand the benefits and costs of encouraging energy-efficiency investments through the use of utility programs, incentives, and educational initiatives.</w:t>
      </w:r>
    </w:p>
    <w:p w14:paraId="02D4D0E9" w14:textId="77777777" w:rsidR="004F70E2" w:rsidRPr="004F70E2" w:rsidRDefault="004F70E2">
      <w:pPr>
        <w:pStyle w:val="BodyText"/>
        <w:ind w:firstLine="720"/>
      </w:pPr>
    </w:p>
    <w:p w14:paraId="395F304B" w14:textId="77777777" w:rsidR="0054132F" w:rsidRDefault="002A0998">
      <w:pPr>
        <w:pStyle w:val="BodyText"/>
        <w:ind w:firstLine="720"/>
        <w:rPr>
          <w:u w:val="single"/>
        </w:rPr>
      </w:pPr>
      <w:r>
        <w:rPr>
          <w:u w:val="single"/>
        </w:rPr>
        <w:t>Utility Planning</w:t>
      </w:r>
    </w:p>
    <w:p w14:paraId="13CC8930" w14:textId="680D1C62" w:rsidR="0054132F" w:rsidRDefault="002A0998">
      <w:pPr>
        <w:pStyle w:val="BodyText"/>
        <w:ind w:firstLine="720"/>
      </w:pPr>
      <w:r>
        <w:t xml:space="preserve">Energy-efficiency program planners will leverage the detailed </w:t>
      </w:r>
      <w:r w:rsidR="0012212E">
        <w:t xml:space="preserve">analysis </w:t>
      </w:r>
      <w:r>
        <w:t xml:space="preserve">in the study </w:t>
      </w:r>
      <w:r w:rsidR="00192874">
        <w:t>to gain</w:t>
      </w:r>
      <w:r>
        <w:t xml:space="preserve"> insight into the current saturation and potential customer acceptance of energy-efficiency technologies for a wide variety of customer segments, buildings and facility types.  The study results also provide useful insight into the relative attractiveness of various energy-efficiency measures, allowing program planners, customers, and trade allies to consider focusing their efforts on the most cost-effective technologies.  </w:t>
      </w:r>
      <w:r w:rsidRPr="00C122CF">
        <w:t xml:space="preserve">For example, the commercial market offers the largest opportunity for energy-efficiency improvements, representing </w:t>
      </w:r>
      <w:r w:rsidR="00852CEF" w:rsidRPr="00967704">
        <w:t>58</w:t>
      </w:r>
      <w:r w:rsidRPr="00967704">
        <w:t>% of the total energy savings potential identified for all three customer classes</w:t>
      </w:r>
      <w:r w:rsidR="0012212E" w:rsidRPr="00967704">
        <w:t xml:space="preserve"> -</w:t>
      </w:r>
      <w:r w:rsidR="008907FC" w:rsidRPr="00967704">
        <w:t xml:space="preserve"> </w:t>
      </w:r>
      <w:r w:rsidRPr="00967704">
        <w:t>residential, commercial, and industrial</w:t>
      </w:r>
      <w:r w:rsidR="0012212E" w:rsidRPr="00967704">
        <w:t xml:space="preserve"> </w:t>
      </w:r>
      <w:r w:rsidR="008907FC" w:rsidRPr="00967704">
        <w:t xml:space="preserve">(Figure </w:t>
      </w:r>
      <w:r w:rsidR="00967704">
        <w:t>4</w:t>
      </w:r>
      <w:r w:rsidR="00967704" w:rsidRPr="00967704">
        <w:t xml:space="preserve"> </w:t>
      </w:r>
      <w:r w:rsidR="008907FC" w:rsidRPr="00967704">
        <w:t>in the attached report).</w:t>
      </w:r>
      <w:r w:rsidRPr="00967704">
        <w:t xml:space="preserve">  These energy savings represent a reduction of about </w:t>
      </w:r>
      <w:r w:rsidR="005243D5" w:rsidRPr="00967704">
        <w:t>1</w:t>
      </w:r>
      <w:r w:rsidR="00327E09" w:rsidRPr="00DC3022">
        <w:t>3</w:t>
      </w:r>
      <w:r w:rsidRPr="00C122CF">
        <w:t xml:space="preserve">% of the commercial class energy forecast for </w:t>
      </w:r>
      <w:r w:rsidR="005243D5" w:rsidRPr="00C122CF">
        <w:t>20</w:t>
      </w:r>
      <w:r w:rsidR="00327E09" w:rsidRPr="00DC3022">
        <w:t>30</w:t>
      </w:r>
      <w:r w:rsidR="005243D5" w:rsidRPr="00C122CF">
        <w:t xml:space="preserve"> </w:t>
      </w:r>
      <w:r w:rsidRPr="00C122CF">
        <w:t xml:space="preserve">for the </w:t>
      </w:r>
      <w:r w:rsidR="00EE458A" w:rsidRPr="00967704">
        <w:t>100%</w:t>
      </w:r>
      <w:r w:rsidRPr="00967704">
        <w:t xml:space="preserve"> incentive scenario</w:t>
      </w:r>
      <w:r w:rsidR="0012212E" w:rsidRPr="00967704">
        <w:t xml:space="preserve"> (Table </w:t>
      </w:r>
      <w:r w:rsidR="00967704">
        <w:t>18</w:t>
      </w:r>
      <w:r w:rsidR="00967704" w:rsidRPr="00967704">
        <w:t xml:space="preserve"> </w:t>
      </w:r>
      <w:r w:rsidR="0012212E" w:rsidRPr="00967704">
        <w:t>in the attached report)</w:t>
      </w:r>
      <w:r w:rsidRPr="00967704">
        <w:t>.</w:t>
      </w:r>
      <w:r>
        <w:t xml:space="preserve">  </w:t>
      </w:r>
    </w:p>
    <w:p w14:paraId="28B7BC0C" w14:textId="53A73680" w:rsidR="0054132F" w:rsidRDefault="002A0998">
      <w:pPr>
        <w:pStyle w:val="BodyText"/>
        <w:ind w:firstLine="720"/>
      </w:pPr>
      <w:r>
        <w:t xml:space="preserve">Resource planners will find the study results useful in understanding the economics of serving customers’ needs through increased energy efficiency </w:t>
      </w:r>
      <w:r w:rsidR="00192874">
        <w:t>relative to</w:t>
      </w:r>
      <w:r>
        <w:t xml:space="preserve"> supply-side options</w:t>
      </w:r>
      <w:r w:rsidRPr="00967704">
        <w:t xml:space="preserve">.  The large rate impacts resulting from the </w:t>
      </w:r>
      <w:r w:rsidR="002064F6" w:rsidRPr="00967704">
        <w:t xml:space="preserve">four theoretically </w:t>
      </w:r>
      <w:r w:rsidRPr="00967704">
        <w:t>achievable incentive scenarios ($2</w:t>
      </w:r>
      <w:r w:rsidR="008306A3">
        <w:t>.4</w:t>
      </w:r>
      <w:r w:rsidRPr="00967704">
        <w:t xml:space="preserve"> - $</w:t>
      </w:r>
      <w:r w:rsidR="00967704" w:rsidRPr="00DC3022">
        <w:t>6</w:t>
      </w:r>
      <w:r w:rsidR="008306A3">
        <w:t>.3</w:t>
      </w:r>
      <w:r w:rsidR="005243D5" w:rsidRPr="00967704">
        <w:t xml:space="preserve"> </w:t>
      </w:r>
      <w:r w:rsidRPr="00967704">
        <w:t xml:space="preserve">billion) demonstrate that the current supply-side plan </w:t>
      </w:r>
      <w:r w:rsidR="002F77E2" w:rsidRPr="00967704">
        <w:t>for serving future customer needs puts significantly less upward pressure on rates.</w:t>
      </w:r>
      <w:r w:rsidR="002F77E2" w:rsidRPr="00852CEF">
        <w:t xml:space="preserve">  </w:t>
      </w:r>
      <w:r w:rsidRPr="00852CEF">
        <w:t xml:space="preserve">Resource planners also need to </w:t>
      </w:r>
      <w:r w:rsidR="0012212E" w:rsidRPr="00852CEF">
        <w:t>balance the fact</w:t>
      </w:r>
      <w:r w:rsidRPr="00852CEF">
        <w:t xml:space="preserve"> that </w:t>
      </w:r>
      <w:r w:rsidR="002F77E2" w:rsidRPr="00852CEF">
        <w:t xml:space="preserve">the availability of </w:t>
      </w:r>
      <w:r w:rsidRPr="00852CEF">
        <w:t>physical generation</w:t>
      </w:r>
      <w:r>
        <w:t xml:space="preserve"> assets </w:t>
      </w:r>
      <w:r w:rsidR="002F77E2">
        <w:t xml:space="preserve">is </w:t>
      </w:r>
      <w:r>
        <w:t>much more certain</w:t>
      </w:r>
      <w:r w:rsidR="002F77E2">
        <w:t xml:space="preserve"> </w:t>
      </w:r>
      <w:r>
        <w:t xml:space="preserve">than the expected reductions from energy-efficiency programs.  </w:t>
      </w:r>
      <w:r w:rsidR="0012212E">
        <w:t>Energy-efficiency</w:t>
      </w:r>
      <w:r>
        <w:t xml:space="preserve"> reductions depend on customers’ behavior and may differ significantly from the expectations included in this study.  </w:t>
      </w:r>
      <w:r w:rsidRPr="0058488D">
        <w:t>Reliability can be jeopardized if too much reliance is placed on uncertain savings from energy-efficiency programs.</w:t>
      </w:r>
    </w:p>
    <w:p w14:paraId="2BB5E862" w14:textId="77777777" w:rsidR="0054132F" w:rsidRDefault="002A0998">
      <w:pPr>
        <w:pStyle w:val="BodyText"/>
        <w:ind w:firstLine="720"/>
      </w:pPr>
      <w:r>
        <w:t xml:space="preserve">In addition to making assumptions on future customer behavior, this TEAPOT study is also based on a multitude of other assumptions subject to uncertainty. These uncertain factors include the future prices of energy (electricity and natural gas), the cost and performance of energy-efficiency technologies, and future building codes and appliance standards. </w:t>
      </w:r>
      <w:r w:rsidR="00D24865">
        <w:t xml:space="preserve"> </w:t>
      </w:r>
      <w:r>
        <w:t>These and other important assumptions may alter the relative economics of demand</w:t>
      </w:r>
      <w:r w:rsidR="00D24865">
        <w:t>-</w:t>
      </w:r>
      <w:r>
        <w:t xml:space="preserve"> and </w:t>
      </w:r>
      <w:r w:rsidR="00B2677B">
        <w:t>supply</w:t>
      </w:r>
      <w:r w:rsidR="00D24865">
        <w:t>-</w:t>
      </w:r>
      <w:r w:rsidR="00B2677B">
        <w:t xml:space="preserve">side options. </w:t>
      </w:r>
    </w:p>
    <w:p w14:paraId="16FC796E" w14:textId="77777777" w:rsidR="00776DD2" w:rsidRDefault="00776DD2">
      <w:pPr>
        <w:pStyle w:val="BodyText"/>
        <w:keepNext/>
        <w:ind w:firstLine="720"/>
        <w:rPr>
          <w:u w:val="single"/>
        </w:rPr>
      </w:pPr>
    </w:p>
    <w:p w14:paraId="40842E3D" w14:textId="0AAC81CE" w:rsidR="0054132F" w:rsidRDefault="002A0998">
      <w:pPr>
        <w:pStyle w:val="BodyText"/>
        <w:keepNext/>
        <w:ind w:firstLine="720"/>
        <w:rPr>
          <w:u w:val="single"/>
        </w:rPr>
      </w:pPr>
      <w:r>
        <w:rPr>
          <w:u w:val="single"/>
        </w:rPr>
        <w:t>Policy Implications</w:t>
      </w:r>
    </w:p>
    <w:p w14:paraId="29EEC42F" w14:textId="77777777" w:rsidR="0054132F" w:rsidRDefault="002A0998">
      <w:pPr>
        <w:pStyle w:val="BodyText"/>
        <w:ind w:firstLine="720"/>
      </w:pPr>
      <w:r>
        <w:t>Policymakers can gain important insights into the benefits and costs of the alternative scenarios</w:t>
      </w:r>
      <w:r w:rsidR="002F77E2">
        <w:t xml:space="preserve"> presented in this report</w:t>
      </w:r>
      <w:r>
        <w:t xml:space="preserve">.  First, many energy-efficiency technologies offer attractive economic returns to customers without additional incentives.  While </w:t>
      </w:r>
      <w:r w:rsidR="002064F6">
        <w:t>ratepayer-funded</w:t>
      </w:r>
      <w:r>
        <w:t xml:space="preserve"> programs </w:t>
      </w:r>
      <w:r w:rsidR="00192874">
        <w:t>with</w:t>
      </w:r>
      <w:r>
        <w:t xml:space="preserve"> financial incentives </w:t>
      </w:r>
      <w:r w:rsidR="00192874">
        <w:t>offered to</w:t>
      </w:r>
      <w:r w:rsidR="002064F6">
        <w:t xml:space="preserve"> </w:t>
      </w:r>
      <w:r>
        <w:t xml:space="preserve">customers are effective at increasing the awareness and adoption of energy-efficiency technologies, these increases come at a cost </w:t>
      </w:r>
      <w:r w:rsidR="002064F6">
        <w:t xml:space="preserve">to all customers </w:t>
      </w:r>
      <w:r>
        <w:t>through higher utility rates.  Policymakers should continue to consider the balance of raising utility rates to pay for the incentive programs received by program participants</w:t>
      </w:r>
      <w:r w:rsidR="002F77E2">
        <w:t xml:space="preserve"> with the economic benefits the programs offer</w:t>
      </w:r>
      <w:r>
        <w:t>.</w:t>
      </w:r>
      <w:r w:rsidR="002064F6">
        <w:t xml:space="preserve">  </w:t>
      </w:r>
    </w:p>
    <w:p w14:paraId="47E919BD" w14:textId="77777777" w:rsidR="0054132F" w:rsidRDefault="002A0998">
      <w:pPr>
        <w:pStyle w:val="BodyText"/>
        <w:ind w:firstLine="720"/>
      </w:pPr>
      <w:r>
        <w:t>Second, significant structural market barriers inhibit customers from participating in utility-sponsored programs, regardless of the size of the financial incentives offered.  For example, customers who rent their residences or businesses often cannot make improvements to their buildings and yet they typically pay the energy bills.  Likewise, landlords are often responsible for providing the energy systems in their buildings</w:t>
      </w:r>
      <w:r w:rsidR="0012212E">
        <w:t>,</w:t>
      </w:r>
      <w:r>
        <w:t xml:space="preserve"> but typically do not pay the energy bills, so they do not directly receive bill savings from energy-efficiency improvements.  Codes and standards are a more effective strategy for overcoming this type of structural barrier than </w:t>
      </w:r>
      <w:r w:rsidR="00B2677B">
        <w:t>ratepayer-funded</w:t>
      </w:r>
      <w:r>
        <w:t xml:space="preserve"> incentive programs.</w:t>
      </w:r>
    </w:p>
    <w:p w14:paraId="548D3942" w14:textId="77777777" w:rsidR="00B2677B" w:rsidRDefault="002A0998">
      <w:pPr>
        <w:pStyle w:val="BodyText"/>
        <w:ind w:firstLine="720"/>
      </w:pPr>
      <w:r w:rsidRPr="0058488D">
        <w:t>Third, many industrial customers have long</w:t>
      </w:r>
      <w:r w:rsidR="002F77E2" w:rsidRPr="0058488D">
        <w:t xml:space="preserve"> </w:t>
      </w:r>
      <w:r w:rsidRPr="0058488D">
        <w:t xml:space="preserve">resisted required participation in </w:t>
      </w:r>
      <w:r w:rsidR="00B2677B" w:rsidRPr="0058488D">
        <w:t>ratepayer-funded</w:t>
      </w:r>
      <w:r w:rsidRPr="0058488D">
        <w:t xml:space="preserve"> programs </w:t>
      </w:r>
      <w:r w:rsidR="00B2677B" w:rsidRPr="0058488D">
        <w:t>because of</w:t>
      </w:r>
      <w:r w:rsidRPr="0058488D">
        <w:t xml:space="preserve"> their associated rate impacts.  While industrial customers remain committed to improving the efficiency of their operations in order to remain globally competitive, they oppose programs that result in cross-subsidies within the industrial class which would result in the subsidizing of some investments by other industrial customers, possibly </w:t>
      </w:r>
      <w:r w:rsidR="002F77E2" w:rsidRPr="0058488D">
        <w:t xml:space="preserve">even </w:t>
      </w:r>
      <w:r w:rsidRPr="0058488D">
        <w:t>a direct competitor.</w:t>
      </w:r>
      <w:r>
        <w:t xml:space="preserve">  </w:t>
      </w:r>
    </w:p>
    <w:p w14:paraId="48DA6B66" w14:textId="77777777" w:rsidR="0054132F" w:rsidRDefault="002A0998">
      <w:pPr>
        <w:pStyle w:val="BodyText"/>
        <w:ind w:firstLine="720"/>
      </w:pPr>
      <w:r>
        <w:t>Finally, the Company employs industry</w:t>
      </w:r>
      <w:r w:rsidR="002F77E2">
        <w:t xml:space="preserve"> </w:t>
      </w:r>
      <w:r>
        <w:t>standard methods that comply with the Commission rules regarding DSM evaluations.  The Commission rules state that for new demand-side resources, the Company will screen demand-side measures using the Rate</w:t>
      </w:r>
      <w:r w:rsidR="00B2677B">
        <w:t>payer</w:t>
      </w:r>
      <w:r>
        <w:t xml:space="preserve"> Impact Measure Test, the Participant’s </w:t>
      </w:r>
      <w:r w:rsidR="00B2677B">
        <w:t xml:space="preserve">Cost </w:t>
      </w:r>
      <w:r>
        <w:t>Test, the Total Resource Cost Te</w:t>
      </w:r>
      <w:r w:rsidR="00553E40">
        <w:t>st and the Societal Cost Test (S</w:t>
      </w:r>
      <w:r>
        <w:t>ee</w:t>
      </w:r>
      <w:r w:rsidR="00553E40">
        <w:t xml:space="preserve"> Commission </w:t>
      </w:r>
      <w:r>
        <w:t>Rule 515-3-4-.04(4)).   The Company supports the Commission rules that address these issues.</w:t>
      </w:r>
    </w:p>
    <w:p w14:paraId="7E56FA66" w14:textId="77777777" w:rsidR="0054132F" w:rsidRDefault="0054132F">
      <w:pPr>
        <w:rPr>
          <w:rFonts w:ascii="Times New Roman" w:eastAsia="Times New Roman" w:hAnsi="Times New Roman"/>
          <w:sz w:val="24"/>
          <w:szCs w:val="24"/>
        </w:rPr>
      </w:pPr>
    </w:p>
    <w:p w14:paraId="69D10CCB" w14:textId="77777777" w:rsidR="0054132F" w:rsidRDefault="002A0998">
      <w:pPr>
        <w:pStyle w:val="Heading1"/>
        <w:keepNext/>
        <w:rPr>
          <w:rFonts w:ascii="Times New Roman" w:hAnsi="Times New Roman" w:cs="Times New Roman"/>
          <w:sz w:val="24"/>
          <w:szCs w:val="24"/>
        </w:rPr>
      </w:pPr>
      <w:bookmarkStart w:id="4" w:name="_Toc315686935"/>
      <w:r>
        <w:rPr>
          <w:rFonts w:ascii="Times New Roman" w:hAnsi="Times New Roman" w:cs="Times New Roman"/>
          <w:sz w:val="24"/>
          <w:szCs w:val="24"/>
        </w:rPr>
        <w:t>Conclusions and Recommendations</w:t>
      </w:r>
      <w:bookmarkEnd w:id="4"/>
    </w:p>
    <w:p w14:paraId="13E4BDC3" w14:textId="6ED8CF95" w:rsidR="0054132F" w:rsidRDefault="002A0998">
      <w:pPr>
        <w:pStyle w:val="BodyText"/>
        <w:ind w:firstLine="720"/>
      </w:pPr>
      <w:r>
        <w:t xml:space="preserve">The results presented in this report </w:t>
      </w:r>
      <w:r w:rsidR="0012212E">
        <w:t xml:space="preserve">estimate the potential </w:t>
      </w:r>
      <w:r w:rsidR="00F22162">
        <w:t xml:space="preserve">for </w:t>
      </w:r>
      <w:r>
        <w:t xml:space="preserve">energy-efficiency technologies </w:t>
      </w:r>
      <w:r w:rsidR="00F22162">
        <w:t xml:space="preserve">to reduce energy consumption </w:t>
      </w:r>
      <w:r>
        <w:t>by the Company’s residential, commercial, and industrial customers</w:t>
      </w:r>
      <w:r w:rsidR="00F22162">
        <w:t xml:space="preserve"> across varying levels of incentives and market adoption</w:t>
      </w:r>
      <w:r>
        <w:t xml:space="preserve">.  The achievable scenario estimates show potentially large reductions in customers’ energy and peak demand needs in the future.  </w:t>
      </w:r>
      <w:r w:rsidRPr="0058488D">
        <w:t xml:space="preserve">At the same time, obtaining these reductions with </w:t>
      </w:r>
      <w:r w:rsidR="008D2449" w:rsidRPr="0058488D">
        <w:t>ratepayer-funded</w:t>
      </w:r>
      <w:r w:rsidR="00192874" w:rsidRPr="0058488D">
        <w:t xml:space="preserve"> incentive programs comes at</w:t>
      </w:r>
      <w:r w:rsidRPr="0058488D">
        <w:t xml:space="preserve"> </w:t>
      </w:r>
      <w:r w:rsidR="00FC1764">
        <w:t>a significant</w:t>
      </w:r>
      <w:r w:rsidR="00FC1764" w:rsidRPr="0058488D">
        <w:t xml:space="preserve"> </w:t>
      </w:r>
      <w:r w:rsidRPr="0058488D">
        <w:t>cost</w:t>
      </w:r>
      <w:r w:rsidR="00A96D45" w:rsidRPr="0058488D">
        <w:t xml:space="preserve"> in the form of </w:t>
      </w:r>
      <w:r w:rsidR="00FC1764">
        <w:t>higher rates</w:t>
      </w:r>
      <w:r w:rsidR="00A96D45" w:rsidRPr="0058488D">
        <w:t xml:space="preserve">.  Additionally, reliability could be impacted </w:t>
      </w:r>
      <w:r w:rsidR="00703696" w:rsidRPr="0058488D">
        <w:t>at</w:t>
      </w:r>
      <w:r w:rsidR="00A96D45" w:rsidRPr="0058488D">
        <w:t xml:space="preserve"> the levels</w:t>
      </w:r>
      <w:r w:rsidR="00703696" w:rsidRPr="0058488D">
        <w:t xml:space="preserve"> of energy and demand reduction</w:t>
      </w:r>
      <w:r w:rsidR="00A96D45" w:rsidRPr="0058488D">
        <w:t xml:space="preserve"> described in some scenarios in th</w:t>
      </w:r>
      <w:r w:rsidR="00703696" w:rsidRPr="0058488D">
        <w:t>is</w:t>
      </w:r>
      <w:r w:rsidR="00A96D45" w:rsidRPr="0058488D">
        <w:t xml:space="preserve"> report.</w:t>
      </w:r>
      <w:r>
        <w:t xml:space="preserve"> </w:t>
      </w:r>
    </w:p>
    <w:p w14:paraId="4950988A" w14:textId="77777777" w:rsidR="0054132F" w:rsidRDefault="002A0998">
      <w:pPr>
        <w:pStyle w:val="BodyText"/>
        <w:ind w:firstLine="720"/>
      </w:pPr>
      <w:r>
        <w:t>The Company supports the Commission</w:t>
      </w:r>
      <w:r w:rsidR="00322C11">
        <w:t>’s</w:t>
      </w:r>
      <w:r>
        <w:t xml:space="preserve"> policy </w:t>
      </w:r>
      <w:r w:rsidR="00B2677B">
        <w:t xml:space="preserve">that the Company’s </w:t>
      </w:r>
      <w:r>
        <w:t xml:space="preserve">DSM </w:t>
      </w:r>
      <w:r w:rsidR="00B2677B">
        <w:t xml:space="preserve">plan should </w:t>
      </w:r>
      <w:r>
        <w:t xml:space="preserve">minimize upward pressure on rates </w:t>
      </w:r>
      <w:r w:rsidR="00B2677B">
        <w:t xml:space="preserve">and </w:t>
      </w:r>
      <w:r>
        <w:t>maximize economic efficiency.  This policy requires the careful balancing of the benefits available to the participants of the programs with the costs borne by all customers through higher rates.</w:t>
      </w:r>
    </w:p>
    <w:p w14:paraId="33F8B08A" w14:textId="77777777" w:rsidR="0054132F" w:rsidRDefault="0054132F">
      <w:pPr>
        <w:pStyle w:val="BodyText"/>
        <w:ind w:firstLine="0"/>
      </w:pPr>
    </w:p>
    <w:p w14:paraId="66995FC5" w14:textId="77777777" w:rsidR="0054132F" w:rsidRDefault="0054132F">
      <w:pPr>
        <w:rPr>
          <w:rFonts w:ascii="Times New Roman" w:eastAsia="Times New Roman" w:hAnsi="Times New Roman"/>
          <w:sz w:val="24"/>
          <w:szCs w:val="24"/>
        </w:rPr>
      </w:pPr>
    </w:p>
    <w:p w14:paraId="24FBE6E7" w14:textId="77777777" w:rsidR="0054132F" w:rsidRDefault="0054132F">
      <w:pPr>
        <w:pStyle w:val="BodyText"/>
        <w:ind w:firstLine="0"/>
      </w:pPr>
    </w:p>
    <w:p w14:paraId="6ED5F9B1" w14:textId="77777777" w:rsidR="0054132F" w:rsidRDefault="0054132F">
      <w:pPr>
        <w:pStyle w:val="BodyText"/>
        <w:ind w:firstLine="0"/>
      </w:pPr>
    </w:p>
    <w:p w14:paraId="21D8E9F9" w14:textId="77777777" w:rsidR="0054132F" w:rsidRDefault="0054132F">
      <w:pPr>
        <w:pStyle w:val="BodyText"/>
        <w:ind w:firstLine="0"/>
        <w:sectPr w:rsidR="0054132F">
          <w:footerReference w:type="default" r:id="rId9"/>
          <w:pgSz w:w="12240" w:h="15840"/>
          <w:pgMar w:top="1440" w:right="1440" w:bottom="1440" w:left="1440" w:header="720" w:footer="720" w:gutter="0"/>
          <w:pgNumType w:start="1"/>
          <w:cols w:space="720"/>
          <w:docGrid w:linePitch="360"/>
        </w:sectPr>
      </w:pPr>
    </w:p>
    <w:p w14:paraId="1994B3E0" w14:textId="77777777" w:rsidR="006B5EFA" w:rsidRDefault="006B5EFA">
      <w:pPr>
        <w:pStyle w:val="BodyText"/>
        <w:ind w:firstLine="0"/>
        <w:jc w:val="center"/>
      </w:pPr>
    </w:p>
    <w:p w14:paraId="78C5579D" w14:textId="77777777" w:rsidR="006B5EFA" w:rsidRDefault="006B5EFA">
      <w:pPr>
        <w:pStyle w:val="BodyText"/>
        <w:ind w:firstLine="0"/>
        <w:jc w:val="center"/>
      </w:pPr>
    </w:p>
    <w:p w14:paraId="45BF0790" w14:textId="77777777" w:rsidR="0054132F" w:rsidRDefault="002A0998">
      <w:pPr>
        <w:pStyle w:val="BodyText"/>
        <w:ind w:firstLine="0"/>
        <w:jc w:val="center"/>
      </w:pPr>
      <w:r>
        <w:t>TRADE SECRET</w:t>
      </w:r>
    </w:p>
    <w:p w14:paraId="4C91FDF2" w14:textId="77777777" w:rsidR="0054132F" w:rsidRDefault="0054132F">
      <w:pPr>
        <w:pStyle w:val="BodyText"/>
        <w:ind w:firstLine="0"/>
        <w:jc w:val="center"/>
      </w:pPr>
    </w:p>
    <w:p w14:paraId="17C81691" w14:textId="77777777" w:rsidR="0054132F" w:rsidRDefault="002A0998">
      <w:pPr>
        <w:pStyle w:val="Heading1"/>
        <w:numPr>
          <w:ilvl w:val="0"/>
          <w:numId w:val="0"/>
        </w:numPr>
        <w:jc w:val="center"/>
      </w:pPr>
      <w:bookmarkStart w:id="5" w:name="_Toc315686936"/>
      <w:r>
        <w:rPr>
          <w:rFonts w:ascii="Times New Roman" w:hAnsi="Times New Roman" w:cs="Times New Roman"/>
          <w:b w:val="0"/>
          <w:u w:val="none"/>
        </w:rPr>
        <w:t>APPENDIX</w:t>
      </w:r>
      <w:bookmarkEnd w:id="5"/>
    </w:p>
    <w:p w14:paraId="7216707F" w14:textId="77777777" w:rsidR="0054132F" w:rsidRDefault="0054132F">
      <w:pPr>
        <w:pStyle w:val="BodyText"/>
        <w:ind w:firstLine="0"/>
        <w:jc w:val="center"/>
      </w:pPr>
    </w:p>
    <w:p w14:paraId="61E69E56" w14:textId="1E971A65" w:rsidR="0054132F" w:rsidRDefault="002A0998">
      <w:pPr>
        <w:pStyle w:val="BodyText"/>
        <w:ind w:firstLine="0"/>
        <w:jc w:val="center"/>
      </w:pPr>
      <w:r>
        <w:t>Achieva</w:t>
      </w:r>
      <w:r w:rsidR="00776DD2">
        <w:t>ble Energy Efficiency Potential</w:t>
      </w:r>
      <w:r>
        <w:t xml:space="preserve"> Assessment</w:t>
      </w:r>
    </w:p>
    <w:p w14:paraId="67554027" w14:textId="77777777" w:rsidR="0054132F" w:rsidRDefault="002A0998">
      <w:pPr>
        <w:pStyle w:val="BodyText"/>
        <w:ind w:firstLine="0"/>
        <w:jc w:val="center"/>
      </w:pPr>
      <w:r>
        <w:t>Submitted to Georgia Power Company</w:t>
      </w:r>
    </w:p>
    <w:p w14:paraId="4C8AFC1F" w14:textId="77777777" w:rsidR="0054132F" w:rsidRDefault="002A0998">
      <w:pPr>
        <w:pStyle w:val="BodyText"/>
        <w:ind w:firstLine="0"/>
        <w:jc w:val="center"/>
      </w:pPr>
      <w:r>
        <w:t>Submitted by Nexant</w:t>
      </w:r>
    </w:p>
    <w:p w14:paraId="4437E1AF" w14:textId="57B1348F" w:rsidR="0054132F" w:rsidRPr="0005394C" w:rsidRDefault="002A0998">
      <w:pPr>
        <w:pStyle w:val="BodyText"/>
        <w:ind w:firstLine="0"/>
        <w:jc w:val="center"/>
      </w:pPr>
      <w:r w:rsidRPr="0005394C">
        <w:t>January 3</w:t>
      </w:r>
      <w:r w:rsidR="006A11A2">
        <w:t>1</w:t>
      </w:r>
      <w:r w:rsidRPr="0005394C">
        <w:t>, 201</w:t>
      </w:r>
      <w:r w:rsidR="006A11A2">
        <w:t>8</w:t>
      </w:r>
    </w:p>
    <w:p w14:paraId="75344324" w14:textId="77777777" w:rsidR="0054132F" w:rsidRDefault="0054132F">
      <w:pPr>
        <w:pStyle w:val="BodyText"/>
        <w:ind w:firstLine="0"/>
      </w:pPr>
    </w:p>
    <w:p w14:paraId="7100C139" w14:textId="77777777" w:rsidR="0054132F" w:rsidRDefault="0054132F">
      <w:pPr>
        <w:rPr>
          <w:rFonts w:ascii="Times New Roman Bold" w:eastAsia="Times New Roman" w:hAnsi="Times New Roman Bold" w:cs="Arial"/>
          <w:b/>
          <w:sz w:val="28"/>
          <w:szCs w:val="28"/>
          <w:u w:val="single"/>
        </w:rPr>
      </w:pPr>
    </w:p>
    <w:p w14:paraId="45019F5E" w14:textId="77777777" w:rsidR="0054132F" w:rsidRDefault="002A0998">
      <w:pPr>
        <w:spacing w:after="0" w:line="240" w:lineRule="auto"/>
        <w:rPr>
          <w:rFonts w:ascii="Times New Roman Bold" w:eastAsia="Times New Roman" w:hAnsi="Times New Roman Bold" w:cs="Arial"/>
          <w:b/>
          <w:sz w:val="28"/>
          <w:szCs w:val="28"/>
          <w:u w:val="single"/>
        </w:rPr>
      </w:pPr>
      <w:r>
        <w:rPr>
          <w:rFonts w:ascii="Times New Roman Bold" w:eastAsia="Times New Roman" w:hAnsi="Times New Roman Bold" w:cs="Arial"/>
          <w:b/>
          <w:sz w:val="28"/>
          <w:szCs w:val="28"/>
          <w:u w:val="single"/>
        </w:rPr>
        <w:br w:type="page"/>
      </w:r>
    </w:p>
    <w:p w14:paraId="6A4BB622" w14:textId="77777777" w:rsidR="0054132F" w:rsidRDefault="0054132F">
      <w:pPr>
        <w:pStyle w:val="Heading1"/>
        <w:numPr>
          <w:ilvl w:val="0"/>
          <w:numId w:val="0"/>
        </w:numPr>
        <w:jc w:val="center"/>
      </w:pPr>
    </w:p>
    <w:p w14:paraId="75972026" w14:textId="77777777" w:rsidR="0054132F" w:rsidRDefault="002A0998">
      <w:pPr>
        <w:pStyle w:val="BodyText"/>
        <w:ind w:firstLine="0"/>
        <w:jc w:val="center"/>
      </w:pPr>
      <w:r>
        <w:t>PUBLIC DISCLOSURE</w:t>
      </w:r>
    </w:p>
    <w:p w14:paraId="41B93DED" w14:textId="77777777" w:rsidR="0054132F" w:rsidRDefault="0054132F">
      <w:pPr>
        <w:pStyle w:val="BodyText"/>
        <w:ind w:firstLine="0"/>
        <w:jc w:val="center"/>
      </w:pPr>
    </w:p>
    <w:p w14:paraId="7A898B21" w14:textId="77777777" w:rsidR="0054132F" w:rsidRDefault="002A0998">
      <w:pPr>
        <w:pStyle w:val="Heading1"/>
        <w:numPr>
          <w:ilvl w:val="0"/>
          <w:numId w:val="0"/>
        </w:numPr>
        <w:jc w:val="center"/>
      </w:pPr>
      <w:bookmarkStart w:id="6" w:name="_Toc315686938"/>
      <w:r>
        <w:rPr>
          <w:rFonts w:ascii="Times New Roman" w:hAnsi="Times New Roman" w:cs="Times New Roman"/>
          <w:b w:val="0"/>
          <w:u w:val="none"/>
        </w:rPr>
        <w:t>APPENDIX</w:t>
      </w:r>
      <w:bookmarkEnd w:id="6"/>
    </w:p>
    <w:p w14:paraId="09AB6F9F" w14:textId="77777777" w:rsidR="0054132F" w:rsidRDefault="0054132F">
      <w:pPr>
        <w:pStyle w:val="BodyText"/>
        <w:ind w:firstLine="0"/>
        <w:jc w:val="center"/>
      </w:pPr>
    </w:p>
    <w:p w14:paraId="10E5D957" w14:textId="0F174942" w:rsidR="0054132F" w:rsidRDefault="002A0998">
      <w:pPr>
        <w:pStyle w:val="BodyText"/>
        <w:ind w:firstLine="0"/>
        <w:jc w:val="center"/>
      </w:pPr>
      <w:r>
        <w:t>Achievable Energy Efficiency Potential Assessment</w:t>
      </w:r>
    </w:p>
    <w:p w14:paraId="5CCFA962" w14:textId="77777777" w:rsidR="0054132F" w:rsidRDefault="002A0998">
      <w:pPr>
        <w:pStyle w:val="BodyText"/>
        <w:ind w:firstLine="0"/>
        <w:jc w:val="center"/>
      </w:pPr>
      <w:r>
        <w:t>Submitted to Georgia Power Company</w:t>
      </w:r>
    </w:p>
    <w:p w14:paraId="25A1F915" w14:textId="77777777" w:rsidR="0054132F" w:rsidRDefault="002A0998">
      <w:pPr>
        <w:pStyle w:val="BodyText"/>
        <w:ind w:firstLine="0"/>
        <w:jc w:val="center"/>
      </w:pPr>
      <w:r>
        <w:t>Submitted by Nexant</w:t>
      </w:r>
    </w:p>
    <w:p w14:paraId="355FED12" w14:textId="747BB333" w:rsidR="0054132F" w:rsidRPr="0005394C" w:rsidRDefault="002A0998">
      <w:pPr>
        <w:pStyle w:val="BodyText"/>
        <w:ind w:firstLine="0"/>
        <w:jc w:val="center"/>
      </w:pPr>
      <w:r w:rsidRPr="0005394C">
        <w:t>January 3</w:t>
      </w:r>
      <w:r w:rsidR="006A11A2">
        <w:t>1</w:t>
      </w:r>
      <w:r w:rsidRPr="0005394C">
        <w:t>, 201</w:t>
      </w:r>
      <w:r w:rsidR="006A11A2">
        <w:t>8</w:t>
      </w:r>
    </w:p>
    <w:p w14:paraId="4C4EE659" w14:textId="77777777" w:rsidR="0054132F" w:rsidRDefault="0054132F">
      <w:pPr>
        <w:pStyle w:val="BodyText"/>
        <w:ind w:firstLine="0"/>
      </w:pPr>
    </w:p>
    <w:p w14:paraId="09E7CC56" w14:textId="77777777" w:rsidR="0054132F" w:rsidRDefault="0054132F">
      <w:pPr>
        <w:pStyle w:val="TOC1"/>
      </w:pPr>
    </w:p>
    <w:sectPr w:rsidR="0054132F" w:rsidSect="0054132F">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CC50C" w14:textId="77777777" w:rsidR="002A0998" w:rsidRDefault="002A0998">
      <w:pPr>
        <w:spacing w:after="0" w:line="240" w:lineRule="auto"/>
      </w:pPr>
      <w:r>
        <w:separator/>
      </w:r>
    </w:p>
  </w:endnote>
  <w:endnote w:type="continuationSeparator" w:id="0">
    <w:p w14:paraId="3D38DEFB" w14:textId="77777777" w:rsidR="002A0998" w:rsidRDefault="002A0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normal tex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03FD2" w14:textId="77777777" w:rsidR="00881563" w:rsidRDefault="00881563" w:rsidP="00881563">
    <w:pPr>
      <w:pStyle w:val="Footer"/>
      <w:spacing w:line="200" w:lineRule="exact"/>
      <w:rPr>
        <w:rStyle w:val="zzmpTrailerItem"/>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9FE56" w14:textId="77777777" w:rsidR="00002BD8" w:rsidRDefault="00002BD8" w:rsidP="00002BD8">
    <w:pPr>
      <w:pStyle w:val="Footer"/>
      <w:spacing w:line="200" w:lineRule="exact"/>
      <w:rPr>
        <w:rStyle w:val="zzmpTrailerItem"/>
      </w:rPr>
    </w:pPr>
  </w:p>
  <w:p w14:paraId="1FDF258D" w14:textId="777193FB" w:rsidR="0054132F" w:rsidRDefault="005A6A82">
    <w:pPr>
      <w:pStyle w:val="Footer"/>
      <w:tabs>
        <w:tab w:val="clear" w:pos="4320"/>
        <w:tab w:val="clear" w:pos="8640"/>
      </w:tabs>
      <w:jc w:val="center"/>
    </w:pPr>
    <w:r>
      <w:fldChar w:fldCharType="begin"/>
    </w:r>
    <w:r w:rsidR="008618E4">
      <w:instrText xml:space="preserve"> PAGE  \* roman  \* MERGEFORMAT </w:instrText>
    </w:r>
    <w:r>
      <w:fldChar w:fldCharType="separate"/>
    </w:r>
    <w:r w:rsidR="004A428F">
      <w:rPr>
        <w:noProof/>
      </w:rPr>
      <w:t>ii</w:t>
    </w:r>
    <w:r>
      <w:fldChar w:fldCharType="end"/>
    </w:r>
  </w:p>
  <w:p w14:paraId="4EB052CF" w14:textId="77777777" w:rsidR="00002BD8" w:rsidRDefault="00002BD8">
    <w:pPr>
      <w:pStyle w:val="Footer"/>
      <w:tabs>
        <w:tab w:val="clear" w:pos="4320"/>
        <w:tab w:val="clear" w:pos="8640"/>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FD049" w14:textId="19407C71" w:rsidR="0054132F" w:rsidRDefault="005A6A82">
    <w:pPr>
      <w:pStyle w:val="Footer"/>
      <w:tabs>
        <w:tab w:val="clear" w:pos="4320"/>
        <w:tab w:val="clear" w:pos="8640"/>
      </w:tabs>
      <w:jc w:val="center"/>
      <w:rPr>
        <w:rFonts w:ascii="Times New Roman" w:hAnsi="Times New Roman"/>
      </w:rPr>
    </w:pPr>
    <w:r w:rsidRPr="004F70E2">
      <w:rPr>
        <w:rFonts w:ascii="Times New Roman" w:hAnsi="Times New Roman"/>
      </w:rPr>
      <w:fldChar w:fldCharType="begin"/>
    </w:r>
    <w:r w:rsidR="0054132F" w:rsidRPr="004F70E2">
      <w:rPr>
        <w:rFonts w:ascii="Times New Roman" w:hAnsi="Times New Roman"/>
      </w:rPr>
      <w:instrText xml:space="preserve"> PAGE  \* Arabic  \* MERGEFORMAT </w:instrText>
    </w:r>
    <w:r w:rsidRPr="004F70E2">
      <w:rPr>
        <w:rFonts w:ascii="Times New Roman" w:hAnsi="Times New Roman"/>
      </w:rPr>
      <w:fldChar w:fldCharType="separate"/>
    </w:r>
    <w:r w:rsidR="004A428F">
      <w:rPr>
        <w:rFonts w:ascii="Times New Roman" w:hAnsi="Times New Roman"/>
        <w:noProof/>
      </w:rPr>
      <w:t>6</w:t>
    </w:r>
    <w:r w:rsidRPr="004F70E2">
      <w:rPr>
        <w:rFonts w:ascii="Times New Roman" w:hAnsi="Times New Roman"/>
      </w:rPr>
      <w:fldChar w:fldCharType="end"/>
    </w:r>
  </w:p>
  <w:p w14:paraId="2DC64395" w14:textId="77777777" w:rsidR="00002BD8" w:rsidRPr="004F70E2" w:rsidRDefault="00002BD8">
    <w:pPr>
      <w:pStyle w:val="Footer"/>
      <w:tabs>
        <w:tab w:val="clear" w:pos="4320"/>
        <w:tab w:val="clear" w:pos="8640"/>
      </w:tabs>
      <w:jc w:val="center"/>
      <w:rPr>
        <w:rFonts w:ascii="Times New Roman" w:hAnsi="Times New Roma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DAC58" w14:textId="5E448507" w:rsidR="0054132F" w:rsidRDefault="004F70E2" w:rsidP="004F70E2">
    <w:pPr>
      <w:pStyle w:val="Footer"/>
      <w:tabs>
        <w:tab w:val="clear" w:pos="4320"/>
        <w:tab w:val="clear" w:pos="8640"/>
        <w:tab w:val="left" w:pos="4262"/>
        <w:tab w:val="center" w:pos="4680"/>
      </w:tabs>
      <w:rPr>
        <w:rFonts w:ascii="Times New Roman" w:hAnsi="Times New Roman"/>
      </w:rPr>
    </w:pPr>
    <w:r>
      <w:rPr>
        <w:rFonts w:ascii="Times New Roman" w:hAnsi="Times New Roman"/>
      </w:rPr>
      <w:tab/>
    </w:r>
    <w:r>
      <w:rPr>
        <w:rFonts w:ascii="Times New Roman" w:hAnsi="Times New Roman"/>
      </w:rPr>
      <w:tab/>
    </w:r>
    <w:r w:rsidR="002A0998" w:rsidRPr="004F70E2">
      <w:rPr>
        <w:rFonts w:ascii="Times New Roman" w:hAnsi="Times New Roman"/>
      </w:rPr>
      <w:t>A-</w:t>
    </w:r>
    <w:r w:rsidR="005A6A82" w:rsidRPr="004F70E2">
      <w:rPr>
        <w:rFonts w:ascii="Times New Roman" w:hAnsi="Times New Roman"/>
      </w:rPr>
      <w:fldChar w:fldCharType="begin"/>
    </w:r>
    <w:r w:rsidR="0054132F" w:rsidRPr="004F70E2">
      <w:rPr>
        <w:rFonts w:ascii="Times New Roman" w:hAnsi="Times New Roman"/>
      </w:rPr>
      <w:instrText xml:space="preserve"> PAGE  \* Arabic  \* MERGEFORMAT </w:instrText>
    </w:r>
    <w:r w:rsidR="005A6A82" w:rsidRPr="004F70E2">
      <w:rPr>
        <w:rFonts w:ascii="Times New Roman" w:hAnsi="Times New Roman"/>
      </w:rPr>
      <w:fldChar w:fldCharType="separate"/>
    </w:r>
    <w:r w:rsidR="004A428F">
      <w:rPr>
        <w:rFonts w:ascii="Times New Roman" w:hAnsi="Times New Roman"/>
        <w:noProof/>
      </w:rPr>
      <w:t>2</w:t>
    </w:r>
    <w:r w:rsidR="005A6A82" w:rsidRPr="004F70E2">
      <w:rPr>
        <w:rFonts w:ascii="Times New Roman" w:hAnsi="Times New Roman"/>
      </w:rPr>
      <w:fldChar w:fldCharType="end"/>
    </w:r>
  </w:p>
  <w:p w14:paraId="10D9A1C2" w14:textId="77777777" w:rsidR="00002BD8" w:rsidRPr="004F70E2" w:rsidRDefault="00002BD8" w:rsidP="004F70E2">
    <w:pPr>
      <w:pStyle w:val="Footer"/>
      <w:tabs>
        <w:tab w:val="clear" w:pos="4320"/>
        <w:tab w:val="clear" w:pos="8640"/>
        <w:tab w:val="left" w:pos="4262"/>
        <w:tab w:val="center" w:pos="4680"/>
      </w:tabs>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637BD" w14:textId="77777777" w:rsidR="002A0998" w:rsidRDefault="002A0998">
      <w:pPr>
        <w:spacing w:after="0" w:line="240" w:lineRule="auto"/>
      </w:pPr>
      <w:r>
        <w:separator/>
      </w:r>
    </w:p>
  </w:footnote>
  <w:footnote w:type="continuationSeparator" w:id="0">
    <w:p w14:paraId="1F2025E3" w14:textId="77777777" w:rsidR="002A0998" w:rsidRDefault="002A09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8C2C2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DB72BD0"/>
    <w:multiLevelType w:val="multilevel"/>
    <w:tmpl w:val="27C28E42"/>
    <w:name w:val="HeadingStyles||Heading|3|3|0|1|0|37||1|0|33||1|0|33||1|0|33||1|0|33||1|0|33||1|0|33||1|0|33||1|0|33||"/>
    <w:lvl w:ilvl="0">
      <w:start w:val="1"/>
      <w:numFmt w:val="decimal"/>
      <w:lvlRestart w:val="0"/>
      <w:pStyle w:val="Heading1"/>
      <w:lvlText w:val="%1."/>
      <w:lvlJc w:val="left"/>
      <w:pPr>
        <w:tabs>
          <w:tab w:val="num" w:pos="-432"/>
        </w:tabs>
        <w:ind w:left="720" w:hanging="720"/>
      </w:pPr>
      <w:rPr>
        <w:rFonts w:ascii="Times New Roman Bold" w:hAnsi="Times New Roman Bold" w:cs="Times New Roman" w:hint="default"/>
        <w:b/>
        <w:i w:val="0"/>
        <w:caps w:val="0"/>
        <w:smallCaps w:val="0"/>
        <w:strike w:val="0"/>
        <w:dstrike w:val="0"/>
        <w:vanish w:val="0"/>
        <w:color w:val="auto"/>
        <w:spacing w:val="0"/>
        <w:w w:val="100"/>
        <w:kern w:val="0"/>
        <w:position w:val="0"/>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isLgl/>
      <w:lvlText w:val="%1.%2"/>
      <w:lvlJc w:val="left"/>
      <w:pPr>
        <w:tabs>
          <w:tab w:val="num" w:pos="1440"/>
        </w:tabs>
        <w:ind w:left="1728" w:hanging="1008"/>
      </w:pPr>
      <w:rPr>
        <w:rFonts w:ascii="Times New Roman Bold" w:hAnsi="Times New Roman Bold" w:cs="Times New Roman" w:hint="default"/>
        <w:b/>
        <w:bCs w:val="0"/>
        <w:i w:val="0"/>
        <w:iCs w:val="0"/>
        <w:caps w:val="0"/>
        <w:smallCaps w:val="0"/>
        <w:strike w:val="0"/>
        <w:dstrike w:val="0"/>
        <w:noProof w:val="0"/>
        <w:snapToGrid w:val="0"/>
        <w:vanish w:val="0"/>
        <w:color w:val="auto"/>
        <w:spacing w:val="0"/>
        <w:w w:val="100"/>
        <w:kern w:val="0"/>
        <w:position w:val="0"/>
        <w:sz w:val="28"/>
        <w:szCs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isLgl/>
      <w:lvlText w:val="%1.%2.%3"/>
      <w:lvlJc w:val="left"/>
      <w:pPr>
        <w:tabs>
          <w:tab w:val="num" w:pos="0"/>
        </w:tabs>
        <w:ind w:left="1944" w:hanging="1224"/>
      </w:pPr>
      <w:rPr>
        <w:rFonts w:ascii="Times New Roman Bold" w:hAnsi="Times New Roman Bold" w:cs="Times New Roman" w:hint="default"/>
        <w:b/>
        <w:bCs w:val="0"/>
        <w:i w:val="0"/>
        <w:iCs w:val="0"/>
        <w:caps w:val="0"/>
        <w:smallCaps w:val="0"/>
        <w:strike w:val="0"/>
        <w:dstrike w:val="0"/>
        <w:noProof w:val="0"/>
        <w:snapToGrid w:val="0"/>
        <w:vanish w:val="0"/>
        <w:color w:val="auto"/>
        <w:spacing w:val="0"/>
        <w:w w:val="100"/>
        <w:kern w:val="0"/>
        <w:position w:val="0"/>
        <w:sz w:val="28"/>
        <w:szCs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isLgl/>
      <w:lvlText w:val="%1.%2.%3.%4"/>
      <w:lvlJc w:val="left"/>
      <w:pPr>
        <w:tabs>
          <w:tab w:val="num" w:pos="1440"/>
        </w:tabs>
        <w:ind w:left="2232" w:hanging="1512"/>
      </w:pPr>
      <w:rPr>
        <w:rFonts w:ascii="Times New Roman Bold" w:hAnsi="Times New Roman Bold" w:cs="Times New Roman" w:hint="default"/>
        <w:b/>
        <w:i w:val="0"/>
        <w:caps w:val="0"/>
        <w:smallCaps w:val="0"/>
        <w:strike w:val="0"/>
        <w:dstrike w:val="0"/>
        <w:vanish w:val="0"/>
        <w:color w:val="auto"/>
        <w:spacing w:val="0"/>
        <w:w w:val="100"/>
        <w:kern w:val="0"/>
        <w:position w:val="0"/>
        <w:sz w:val="28"/>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Heading5"/>
      <w:lvlText w:val="(%5)"/>
      <w:lvlJc w:val="left"/>
      <w:pPr>
        <w:tabs>
          <w:tab w:val="num" w:pos="-968"/>
        </w:tabs>
        <w:ind w:left="-968" w:firstLine="0"/>
      </w:pPr>
      <w:rPr>
        <w:rFonts w:ascii="(normal text)" w:hAnsi="(normal text)" w:cs="Times New Roman" w:hint="default"/>
        <w:b w:val="0"/>
        <w:i w:val="0"/>
        <w:caps w:val="0"/>
        <w:smallCaps w:val="0"/>
        <w:strike w:val="0"/>
        <w:dstrike w:val="0"/>
        <w:vanish w:val="0"/>
        <w:color w:val="auto"/>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Heading6"/>
      <w:lvlText w:val="(%6)"/>
      <w:lvlJc w:val="left"/>
      <w:pPr>
        <w:tabs>
          <w:tab w:val="num" w:pos="-968"/>
        </w:tabs>
        <w:ind w:left="-968" w:firstLine="0"/>
      </w:pPr>
      <w:rPr>
        <w:rFonts w:ascii="(normal text)" w:hAnsi="(normal text)" w:cs="Times New Roman" w:hint="default"/>
        <w:b w:val="0"/>
        <w:i w:val="0"/>
        <w:caps w:val="0"/>
        <w:smallCaps w:val="0"/>
        <w:strike w:val="0"/>
        <w:dstrike w:val="0"/>
        <w:vanish w:val="0"/>
        <w:color w:val="auto"/>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Restart w:val="0"/>
      <w:pStyle w:val="Heading7"/>
      <w:suff w:val="nothing"/>
      <w:lvlText w:val=""/>
      <w:lvlJc w:val="left"/>
      <w:pPr>
        <w:ind w:left="-968" w:firstLine="0"/>
      </w:pPr>
      <w:rPr>
        <w:rFonts w:ascii="(normal text)" w:hAnsi="(normal text)" w:cs="Times New Roman" w:hint="default"/>
        <w:b w:val="0"/>
        <w:i w:val="0"/>
        <w:caps w:val="0"/>
        <w:smallCaps w:val="0"/>
        <w:strike w:val="0"/>
        <w:dstrike w:val="0"/>
        <w:vanish w:val="0"/>
        <w:color w:val="auto"/>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0"/>
      <w:pStyle w:val="Heading8"/>
      <w:suff w:val="nothing"/>
      <w:lvlText w:val=""/>
      <w:lvlJc w:val="left"/>
      <w:pPr>
        <w:ind w:left="-968" w:firstLine="0"/>
      </w:pPr>
      <w:rPr>
        <w:rFonts w:ascii="(normal text)" w:hAnsi="(normal text)" w:cs="Times New Roman" w:hint="default"/>
        <w:b w:val="0"/>
        <w:i w:val="0"/>
        <w:caps w:val="0"/>
        <w:smallCaps w:val="0"/>
        <w:strike w:val="0"/>
        <w:dstrike w:val="0"/>
        <w:vanish w:val="0"/>
        <w:color w:val="auto"/>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Restart w:val="0"/>
      <w:pStyle w:val="Heading9"/>
      <w:suff w:val="nothing"/>
      <w:lvlText w:val=""/>
      <w:lvlJc w:val="left"/>
      <w:pPr>
        <w:ind w:left="-968" w:firstLine="0"/>
      </w:pPr>
      <w:rPr>
        <w:rFonts w:ascii="(normal text)" w:hAnsi="(normal text)" w:cs="Times New Roman" w:hint="default"/>
        <w:b w:val="0"/>
        <w:i w:val="0"/>
        <w:caps w:val="0"/>
        <w:smallCaps w:val="0"/>
        <w:strike w:val="0"/>
        <w:dstrike w:val="0"/>
        <w:vanish w:val="0"/>
        <w:color w:val="auto"/>
        <w:spacing w:val="0"/>
        <w:w w:val="100"/>
        <w:kern w:val="0"/>
        <w:positio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562B6FFE"/>
    <w:multiLevelType w:val="hybridMultilevel"/>
    <w:tmpl w:val="B3FEC7BA"/>
    <w:lvl w:ilvl="0" w:tplc="504CD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EC46E3"/>
    <w:multiLevelType w:val="hybridMultilevel"/>
    <w:tmpl w:val="B3FEC7BA"/>
    <w:lvl w:ilvl="0" w:tplc="504CD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32F"/>
    <w:rsid w:val="00002BD8"/>
    <w:rsid w:val="00004A9C"/>
    <w:rsid w:val="000533D5"/>
    <w:rsid w:val="0005394C"/>
    <w:rsid w:val="00080A81"/>
    <w:rsid w:val="000A0362"/>
    <w:rsid w:val="000D794B"/>
    <w:rsid w:val="00106844"/>
    <w:rsid w:val="001170AB"/>
    <w:rsid w:val="0012212E"/>
    <w:rsid w:val="00155DDD"/>
    <w:rsid w:val="00161489"/>
    <w:rsid w:val="00192874"/>
    <w:rsid w:val="002064F6"/>
    <w:rsid w:val="0023625C"/>
    <w:rsid w:val="002A0998"/>
    <w:rsid w:val="002C247F"/>
    <w:rsid w:val="002C69CA"/>
    <w:rsid w:val="002F77E2"/>
    <w:rsid w:val="00303877"/>
    <w:rsid w:val="00317966"/>
    <w:rsid w:val="003210F4"/>
    <w:rsid w:val="00322C11"/>
    <w:rsid w:val="00327E09"/>
    <w:rsid w:val="00353961"/>
    <w:rsid w:val="00373D1F"/>
    <w:rsid w:val="00383FDC"/>
    <w:rsid w:val="00387376"/>
    <w:rsid w:val="00404015"/>
    <w:rsid w:val="00412943"/>
    <w:rsid w:val="0049397F"/>
    <w:rsid w:val="004A428F"/>
    <w:rsid w:val="004B7C48"/>
    <w:rsid w:val="004F70E2"/>
    <w:rsid w:val="00506668"/>
    <w:rsid w:val="005243D5"/>
    <w:rsid w:val="0054132F"/>
    <w:rsid w:val="00553D09"/>
    <w:rsid w:val="00553E40"/>
    <w:rsid w:val="00564649"/>
    <w:rsid w:val="0058488D"/>
    <w:rsid w:val="005A6A82"/>
    <w:rsid w:val="005D62BB"/>
    <w:rsid w:val="005E45B3"/>
    <w:rsid w:val="00660ECD"/>
    <w:rsid w:val="00676688"/>
    <w:rsid w:val="006A11A2"/>
    <w:rsid w:val="006B5EFA"/>
    <w:rsid w:val="006E119C"/>
    <w:rsid w:val="00703696"/>
    <w:rsid w:val="00730C3C"/>
    <w:rsid w:val="00746F79"/>
    <w:rsid w:val="00776DD2"/>
    <w:rsid w:val="00785744"/>
    <w:rsid w:val="0082514E"/>
    <w:rsid w:val="00827803"/>
    <w:rsid w:val="008306A3"/>
    <w:rsid w:val="00852CEF"/>
    <w:rsid w:val="008618E4"/>
    <w:rsid w:val="008649CA"/>
    <w:rsid w:val="00881563"/>
    <w:rsid w:val="008907FC"/>
    <w:rsid w:val="008A4A1D"/>
    <w:rsid w:val="008A6ED6"/>
    <w:rsid w:val="008B5967"/>
    <w:rsid w:val="008C10B0"/>
    <w:rsid w:val="008D2449"/>
    <w:rsid w:val="008F0EAA"/>
    <w:rsid w:val="008F2114"/>
    <w:rsid w:val="0092454A"/>
    <w:rsid w:val="0095095A"/>
    <w:rsid w:val="00954E8B"/>
    <w:rsid w:val="00955611"/>
    <w:rsid w:val="00967704"/>
    <w:rsid w:val="009728F4"/>
    <w:rsid w:val="00981465"/>
    <w:rsid w:val="009D0CCB"/>
    <w:rsid w:val="00A23543"/>
    <w:rsid w:val="00A47C56"/>
    <w:rsid w:val="00A628A1"/>
    <w:rsid w:val="00A75D03"/>
    <w:rsid w:val="00A80822"/>
    <w:rsid w:val="00A906D9"/>
    <w:rsid w:val="00A96D45"/>
    <w:rsid w:val="00AD248A"/>
    <w:rsid w:val="00B05557"/>
    <w:rsid w:val="00B2677B"/>
    <w:rsid w:val="00B438AC"/>
    <w:rsid w:val="00B45B5A"/>
    <w:rsid w:val="00B7769A"/>
    <w:rsid w:val="00BC7F6E"/>
    <w:rsid w:val="00BE0F31"/>
    <w:rsid w:val="00C122CF"/>
    <w:rsid w:val="00C30FB3"/>
    <w:rsid w:val="00C37292"/>
    <w:rsid w:val="00D24865"/>
    <w:rsid w:val="00D81BA6"/>
    <w:rsid w:val="00DC3022"/>
    <w:rsid w:val="00DD6A4E"/>
    <w:rsid w:val="00DF660F"/>
    <w:rsid w:val="00E27E22"/>
    <w:rsid w:val="00E40E0A"/>
    <w:rsid w:val="00E633B7"/>
    <w:rsid w:val="00E816C4"/>
    <w:rsid w:val="00EA2EF0"/>
    <w:rsid w:val="00EE458A"/>
    <w:rsid w:val="00F11765"/>
    <w:rsid w:val="00F11D4E"/>
    <w:rsid w:val="00F20442"/>
    <w:rsid w:val="00F22162"/>
    <w:rsid w:val="00F34DDA"/>
    <w:rsid w:val="00F57D5C"/>
    <w:rsid w:val="00F60AC9"/>
    <w:rsid w:val="00F97B19"/>
    <w:rsid w:val="00FA1F32"/>
    <w:rsid w:val="00FC1764"/>
    <w:rsid w:val="00FC1866"/>
    <w:rsid w:val="00FC20E4"/>
    <w:rsid w:val="00FE3866"/>
    <w:rsid w:val="00FE6D90"/>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187AA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132F"/>
    <w:pPr>
      <w:spacing w:after="200" w:line="276" w:lineRule="auto"/>
    </w:pPr>
    <w:rPr>
      <w:sz w:val="22"/>
      <w:szCs w:val="22"/>
    </w:rPr>
  </w:style>
  <w:style w:type="paragraph" w:styleId="Heading1">
    <w:name w:val="heading 1"/>
    <w:basedOn w:val="BodyText"/>
    <w:next w:val="BodyText"/>
    <w:link w:val="Heading1Char"/>
    <w:qFormat/>
    <w:rsid w:val="0054132F"/>
    <w:pPr>
      <w:numPr>
        <w:numId w:val="1"/>
      </w:numPr>
      <w:tabs>
        <w:tab w:val="left" w:pos="720"/>
        <w:tab w:val="left" w:pos="1440"/>
      </w:tabs>
      <w:spacing w:after="240" w:line="240" w:lineRule="auto"/>
      <w:outlineLvl w:val="0"/>
    </w:pPr>
    <w:rPr>
      <w:rFonts w:ascii="Times New Roman Bold" w:hAnsi="Times New Roman Bold" w:cs="Arial"/>
      <w:b/>
      <w:sz w:val="28"/>
      <w:szCs w:val="28"/>
      <w:u w:val="single"/>
    </w:rPr>
  </w:style>
  <w:style w:type="paragraph" w:styleId="Heading2">
    <w:name w:val="heading 2"/>
    <w:basedOn w:val="BodyText"/>
    <w:link w:val="Heading2Char"/>
    <w:qFormat/>
    <w:rsid w:val="0054132F"/>
    <w:pPr>
      <w:numPr>
        <w:ilvl w:val="1"/>
        <w:numId w:val="1"/>
      </w:numPr>
      <w:tabs>
        <w:tab w:val="left" w:pos="1440"/>
      </w:tabs>
      <w:spacing w:after="240" w:line="240" w:lineRule="auto"/>
      <w:jc w:val="left"/>
      <w:outlineLvl w:val="1"/>
    </w:pPr>
    <w:rPr>
      <w:rFonts w:ascii="Times New Roman Bold" w:hAnsi="Times New Roman Bold" w:cs="Arial"/>
      <w:b/>
      <w:snapToGrid w:val="0"/>
      <w:sz w:val="28"/>
      <w:szCs w:val="28"/>
    </w:rPr>
  </w:style>
  <w:style w:type="paragraph" w:styleId="Heading3">
    <w:name w:val="heading 3"/>
    <w:basedOn w:val="BodyText"/>
    <w:link w:val="Heading3Char"/>
    <w:qFormat/>
    <w:rsid w:val="0054132F"/>
    <w:pPr>
      <w:keepNext/>
      <w:numPr>
        <w:ilvl w:val="2"/>
        <w:numId w:val="1"/>
      </w:numPr>
      <w:tabs>
        <w:tab w:val="clear" w:pos="0"/>
        <w:tab w:val="left" w:pos="1660"/>
      </w:tabs>
      <w:spacing w:before="240" w:after="240" w:line="240" w:lineRule="auto"/>
      <w:jc w:val="left"/>
      <w:outlineLvl w:val="2"/>
    </w:pPr>
    <w:rPr>
      <w:rFonts w:ascii="Times New Roman Bold" w:hAnsi="Times New Roman Bold"/>
      <w:b/>
      <w:snapToGrid w:val="0"/>
      <w:color w:val="000000"/>
      <w:sz w:val="28"/>
      <w:szCs w:val="28"/>
    </w:rPr>
  </w:style>
  <w:style w:type="paragraph" w:styleId="Heading4">
    <w:name w:val="heading 4"/>
    <w:basedOn w:val="BodyText"/>
    <w:link w:val="Heading4Char"/>
    <w:qFormat/>
    <w:rsid w:val="0054132F"/>
    <w:pPr>
      <w:numPr>
        <w:ilvl w:val="3"/>
        <w:numId w:val="1"/>
      </w:numPr>
      <w:tabs>
        <w:tab w:val="clear" w:pos="1440"/>
        <w:tab w:val="num" w:pos="1940"/>
      </w:tabs>
      <w:spacing w:after="240" w:line="240" w:lineRule="auto"/>
      <w:jc w:val="left"/>
      <w:outlineLvl w:val="3"/>
    </w:pPr>
    <w:rPr>
      <w:rFonts w:ascii="Times New Roman Bold" w:hAnsi="Times New Roman Bold"/>
      <w:b/>
      <w:snapToGrid w:val="0"/>
      <w:sz w:val="28"/>
      <w:szCs w:val="28"/>
    </w:rPr>
  </w:style>
  <w:style w:type="paragraph" w:styleId="Heading5">
    <w:name w:val="heading 5"/>
    <w:basedOn w:val="Normal"/>
    <w:next w:val="BodyText"/>
    <w:link w:val="Heading5Char"/>
    <w:qFormat/>
    <w:rsid w:val="0054132F"/>
    <w:pPr>
      <w:keepNext/>
      <w:numPr>
        <w:ilvl w:val="4"/>
        <w:numId w:val="1"/>
      </w:numPr>
      <w:tabs>
        <w:tab w:val="clear" w:pos="-968"/>
        <w:tab w:val="num" w:pos="-960"/>
      </w:tabs>
      <w:spacing w:after="0" w:line="240" w:lineRule="auto"/>
      <w:outlineLvl w:val="4"/>
    </w:pPr>
    <w:rPr>
      <w:rFonts w:ascii="Times New Roman" w:eastAsia="Times New Roman" w:hAnsi="Times New Roman"/>
      <w:b/>
      <w:sz w:val="28"/>
      <w:szCs w:val="20"/>
    </w:rPr>
  </w:style>
  <w:style w:type="paragraph" w:styleId="Heading6">
    <w:name w:val="heading 6"/>
    <w:basedOn w:val="Normal"/>
    <w:next w:val="BodyText"/>
    <w:link w:val="Heading6Char"/>
    <w:qFormat/>
    <w:rsid w:val="0054132F"/>
    <w:pPr>
      <w:keepNext/>
      <w:numPr>
        <w:ilvl w:val="5"/>
        <w:numId w:val="1"/>
      </w:numPr>
      <w:tabs>
        <w:tab w:val="clear" w:pos="-968"/>
        <w:tab w:val="num" w:pos="-960"/>
      </w:tabs>
      <w:spacing w:after="0" w:line="240" w:lineRule="auto"/>
      <w:jc w:val="center"/>
      <w:outlineLvl w:val="5"/>
    </w:pPr>
    <w:rPr>
      <w:rFonts w:ascii="Times New Roman" w:eastAsia="Times New Roman" w:hAnsi="Times New Roman"/>
      <w:b/>
      <w:sz w:val="28"/>
      <w:szCs w:val="20"/>
    </w:rPr>
  </w:style>
  <w:style w:type="paragraph" w:styleId="Heading7">
    <w:name w:val="heading 7"/>
    <w:basedOn w:val="Normal"/>
    <w:next w:val="BodyText"/>
    <w:link w:val="Heading7Char"/>
    <w:qFormat/>
    <w:rsid w:val="0054132F"/>
    <w:pPr>
      <w:keepNext/>
      <w:numPr>
        <w:ilvl w:val="6"/>
        <w:numId w:val="1"/>
      </w:numPr>
      <w:spacing w:after="0" w:line="240" w:lineRule="auto"/>
      <w:outlineLvl w:val="6"/>
    </w:pPr>
    <w:rPr>
      <w:rFonts w:ascii="Times New Roman" w:eastAsia="Times New Roman" w:hAnsi="Times New Roman"/>
      <w:b/>
      <w:sz w:val="24"/>
      <w:szCs w:val="20"/>
    </w:rPr>
  </w:style>
  <w:style w:type="paragraph" w:styleId="Heading8">
    <w:name w:val="heading 8"/>
    <w:basedOn w:val="Normal"/>
    <w:next w:val="BodyText"/>
    <w:link w:val="Heading8Char"/>
    <w:qFormat/>
    <w:rsid w:val="0054132F"/>
    <w:pPr>
      <w:keepNext/>
      <w:numPr>
        <w:ilvl w:val="7"/>
        <w:numId w:val="1"/>
      </w:numPr>
      <w:spacing w:after="0" w:line="240" w:lineRule="auto"/>
      <w:outlineLvl w:val="7"/>
    </w:pPr>
    <w:rPr>
      <w:rFonts w:ascii="Times New Roman" w:eastAsia="Times New Roman" w:hAnsi="Times New Roman"/>
      <w:b/>
      <w:snapToGrid w:val="0"/>
      <w:color w:val="000000"/>
      <w:sz w:val="24"/>
      <w:szCs w:val="20"/>
    </w:rPr>
  </w:style>
  <w:style w:type="paragraph" w:styleId="Heading9">
    <w:name w:val="heading 9"/>
    <w:basedOn w:val="Normal"/>
    <w:next w:val="BodyText"/>
    <w:link w:val="Heading9Char"/>
    <w:qFormat/>
    <w:rsid w:val="0054132F"/>
    <w:pPr>
      <w:keepNext/>
      <w:numPr>
        <w:ilvl w:val="8"/>
        <w:numId w:val="1"/>
      </w:numPr>
      <w:spacing w:after="0" w:line="240" w:lineRule="auto"/>
      <w:outlineLvl w:val="8"/>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54132F"/>
    <w:pPr>
      <w:spacing w:after="0" w:line="480" w:lineRule="auto"/>
    </w:pPr>
    <w:rPr>
      <w:rFonts w:ascii="Courier New" w:eastAsia="Times New Roman" w:hAnsi="Courier New"/>
      <w:sz w:val="24"/>
      <w:szCs w:val="20"/>
    </w:rPr>
  </w:style>
  <w:style w:type="character" w:customStyle="1" w:styleId="PlainTextChar">
    <w:name w:val="Plain Text Char"/>
    <w:basedOn w:val="DefaultParagraphFont"/>
    <w:link w:val="PlainText"/>
    <w:rsid w:val="0054132F"/>
    <w:rPr>
      <w:rFonts w:ascii="Courier New" w:eastAsia="Times New Roman" w:hAnsi="Courier New" w:cs="Times New Roman"/>
      <w:sz w:val="24"/>
      <w:szCs w:val="20"/>
    </w:rPr>
  </w:style>
  <w:style w:type="paragraph" w:styleId="BodyText">
    <w:name w:val="Body Text"/>
    <w:basedOn w:val="BlockText"/>
    <w:link w:val="BodyTextChar"/>
    <w:rsid w:val="0054132F"/>
    <w:pPr>
      <w:pBdr>
        <w:top w:val="none" w:sz="0" w:space="0" w:color="auto"/>
        <w:left w:val="none" w:sz="0" w:space="0" w:color="auto"/>
        <w:bottom w:val="none" w:sz="0" w:space="0" w:color="auto"/>
        <w:right w:val="none" w:sz="0" w:space="0" w:color="auto"/>
      </w:pBdr>
      <w:spacing w:after="0" w:line="360" w:lineRule="auto"/>
      <w:ind w:left="0" w:right="0" w:firstLine="432"/>
      <w:jc w:val="both"/>
    </w:pPr>
    <w:rPr>
      <w:rFonts w:ascii="Times New Roman" w:hAnsi="Times New Roman"/>
      <w:i w:val="0"/>
      <w:iCs w:val="0"/>
      <w:color w:val="auto"/>
      <w:sz w:val="24"/>
      <w:szCs w:val="24"/>
    </w:rPr>
  </w:style>
  <w:style w:type="character" w:customStyle="1" w:styleId="BodyTextChar">
    <w:name w:val="Body Text Char"/>
    <w:basedOn w:val="DefaultParagraphFont"/>
    <w:link w:val="BodyText"/>
    <w:rsid w:val="0054132F"/>
    <w:rPr>
      <w:rFonts w:ascii="Times New Roman" w:eastAsia="Times New Roman" w:hAnsi="Times New Roman" w:cs="Times New Roman"/>
      <w:sz w:val="24"/>
      <w:szCs w:val="24"/>
    </w:rPr>
  </w:style>
  <w:style w:type="paragraph" w:styleId="Header">
    <w:name w:val="header"/>
    <w:basedOn w:val="Normal"/>
    <w:link w:val="HeaderChar"/>
    <w:rsid w:val="0054132F"/>
    <w:pPr>
      <w:tabs>
        <w:tab w:val="center" w:pos="4320"/>
        <w:tab w:val="right" w:pos="8640"/>
      </w:tabs>
      <w:spacing w:after="0" w:line="480" w:lineRule="auto"/>
    </w:pPr>
    <w:rPr>
      <w:rFonts w:ascii="Courier" w:eastAsia="Times New Roman" w:hAnsi="Courier"/>
      <w:sz w:val="24"/>
      <w:szCs w:val="20"/>
    </w:rPr>
  </w:style>
  <w:style w:type="character" w:customStyle="1" w:styleId="HeaderChar">
    <w:name w:val="Header Char"/>
    <w:basedOn w:val="DefaultParagraphFont"/>
    <w:link w:val="Header"/>
    <w:rsid w:val="0054132F"/>
    <w:rPr>
      <w:rFonts w:ascii="Courier" w:eastAsia="Times New Roman" w:hAnsi="Courier" w:cs="Times New Roman"/>
      <w:sz w:val="24"/>
      <w:szCs w:val="20"/>
    </w:rPr>
  </w:style>
  <w:style w:type="paragraph" w:styleId="Footer">
    <w:name w:val="footer"/>
    <w:basedOn w:val="Normal"/>
    <w:link w:val="FooterChar"/>
    <w:uiPriority w:val="99"/>
    <w:rsid w:val="0054132F"/>
    <w:pPr>
      <w:tabs>
        <w:tab w:val="center" w:pos="4320"/>
        <w:tab w:val="right" w:pos="8640"/>
      </w:tabs>
      <w:spacing w:after="0" w:line="480" w:lineRule="auto"/>
    </w:pPr>
    <w:rPr>
      <w:rFonts w:ascii="Courier" w:eastAsia="Times New Roman" w:hAnsi="Courier"/>
      <w:sz w:val="24"/>
      <w:szCs w:val="20"/>
    </w:rPr>
  </w:style>
  <w:style w:type="character" w:customStyle="1" w:styleId="FooterChar">
    <w:name w:val="Footer Char"/>
    <w:basedOn w:val="DefaultParagraphFont"/>
    <w:link w:val="Footer"/>
    <w:uiPriority w:val="99"/>
    <w:rsid w:val="0054132F"/>
    <w:rPr>
      <w:rFonts w:ascii="Courier" w:eastAsia="Times New Roman" w:hAnsi="Courier" w:cs="Times New Roman"/>
      <w:sz w:val="24"/>
      <w:szCs w:val="20"/>
    </w:rPr>
  </w:style>
  <w:style w:type="character" w:styleId="PageNumber">
    <w:name w:val="page number"/>
    <w:basedOn w:val="DefaultParagraphFont"/>
    <w:rsid w:val="0054132F"/>
  </w:style>
  <w:style w:type="paragraph" w:styleId="BlockText">
    <w:name w:val="Block Text"/>
    <w:basedOn w:val="Normal"/>
    <w:rsid w:val="0054132F"/>
    <w:pPr>
      <w:pBdr>
        <w:top w:val="single" w:sz="2" w:space="10" w:color="4F81BD" w:shadow="1"/>
        <w:left w:val="single" w:sz="2" w:space="10" w:color="4F81BD" w:shadow="1"/>
        <w:bottom w:val="single" w:sz="2" w:space="10" w:color="4F81BD" w:shadow="1"/>
        <w:right w:val="single" w:sz="2" w:space="10" w:color="4F81BD" w:shadow="1"/>
      </w:pBdr>
      <w:ind w:left="1152" w:right="1152"/>
    </w:pPr>
    <w:rPr>
      <w:rFonts w:eastAsia="Times New Roman"/>
      <w:i/>
      <w:iCs/>
      <w:color w:val="4F81BD"/>
    </w:rPr>
  </w:style>
  <w:style w:type="paragraph" w:styleId="TOC1">
    <w:name w:val="toc 1"/>
    <w:aliases w:val="TOC Aerial"/>
    <w:basedOn w:val="Normal"/>
    <w:next w:val="Normal"/>
    <w:autoRedefine/>
    <w:rsid w:val="0054132F"/>
    <w:pPr>
      <w:keepLines/>
      <w:tabs>
        <w:tab w:val="left" w:pos="360"/>
        <w:tab w:val="right" w:leader="dot" w:pos="9360"/>
      </w:tabs>
      <w:spacing w:after="120" w:line="240" w:lineRule="auto"/>
      <w:ind w:right="720"/>
    </w:pPr>
    <w:rPr>
      <w:rFonts w:ascii="Times New Roman" w:eastAsia="Times New Roman" w:hAnsi="Times New Roman"/>
      <w:sz w:val="24"/>
      <w:szCs w:val="20"/>
    </w:rPr>
  </w:style>
  <w:style w:type="paragraph" w:styleId="TOC2">
    <w:name w:val="toc 2"/>
    <w:aliases w:val="Aerial"/>
    <w:basedOn w:val="Normal"/>
    <w:next w:val="Normal"/>
    <w:autoRedefine/>
    <w:rsid w:val="0054132F"/>
    <w:pPr>
      <w:keepLines/>
      <w:tabs>
        <w:tab w:val="right" w:leader="dot" w:pos="9288"/>
      </w:tabs>
      <w:spacing w:after="120" w:line="240" w:lineRule="auto"/>
      <w:ind w:left="1440" w:right="720" w:hanging="720"/>
    </w:pPr>
    <w:rPr>
      <w:rFonts w:eastAsia="Times New Roman" w:cs="Calibri"/>
      <w:szCs w:val="20"/>
    </w:rPr>
  </w:style>
  <w:style w:type="character" w:customStyle="1" w:styleId="Heading1Char">
    <w:name w:val="Heading 1 Char"/>
    <w:basedOn w:val="DefaultParagraphFont"/>
    <w:link w:val="Heading1"/>
    <w:rsid w:val="0054132F"/>
    <w:rPr>
      <w:rFonts w:ascii="Times New Roman Bold" w:eastAsia="Times New Roman" w:hAnsi="Times New Roman Bold" w:cs="Arial"/>
      <w:b/>
      <w:sz w:val="28"/>
      <w:szCs w:val="28"/>
      <w:u w:val="single"/>
    </w:rPr>
  </w:style>
  <w:style w:type="character" w:customStyle="1" w:styleId="Heading2Char">
    <w:name w:val="Heading 2 Char"/>
    <w:basedOn w:val="DefaultParagraphFont"/>
    <w:link w:val="Heading2"/>
    <w:rsid w:val="0054132F"/>
    <w:rPr>
      <w:rFonts w:ascii="Times New Roman Bold" w:eastAsia="Times New Roman" w:hAnsi="Times New Roman Bold" w:cs="Arial"/>
      <w:b/>
      <w:snapToGrid w:val="0"/>
      <w:sz w:val="28"/>
      <w:szCs w:val="28"/>
    </w:rPr>
  </w:style>
  <w:style w:type="character" w:customStyle="1" w:styleId="Heading3Char">
    <w:name w:val="Heading 3 Char"/>
    <w:basedOn w:val="DefaultParagraphFont"/>
    <w:link w:val="Heading3"/>
    <w:rsid w:val="0054132F"/>
    <w:rPr>
      <w:rFonts w:ascii="Times New Roman Bold" w:eastAsia="Times New Roman" w:hAnsi="Times New Roman Bold" w:cs="Times New Roman"/>
      <w:b/>
      <w:snapToGrid w:val="0"/>
      <w:color w:val="000000"/>
      <w:sz w:val="28"/>
      <w:szCs w:val="28"/>
    </w:rPr>
  </w:style>
  <w:style w:type="character" w:customStyle="1" w:styleId="Heading4Char">
    <w:name w:val="Heading 4 Char"/>
    <w:basedOn w:val="DefaultParagraphFont"/>
    <w:link w:val="Heading4"/>
    <w:rsid w:val="0054132F"/>
    <w:rPr>
      <w:rFonts w:ascii="Times New Roman Bold" w:eastAsia="Times New Roman" w:hAnsi="Times New Roman Bold" w:cs="Times New Roman"/>
      <w:b/>
      <w:snapToGrid w:val="0"/>
      <w:sz w:val="28"/>
      <w:szCs w:val="28"/>
    </w:rPr>
  </w:style>
  <w:style w:type="character" w:customStyle="1" w:styleId="Heading5Char">
    <w:name w:val="Heading 5 Char"/>
    <w:basedOn w:val="DefaultParagraphFont"/>
    <w:link w:val="Heading5"/>
    <w:rsid w:val="0054132F"/>
    <w:rPr>
      <w:rFonts w:ascii="Times New Roman" w:eastAsia="Times New Roman" w:hAnsi="Times New Roman" w:cs="Times New Roman"/>
      <w:b/>
      <w:sz w:val="28"/>
      <w:szCs w:val="20"/>
    </w:rPr>
  </w:style>
  <w:style w:type="character" w:customStyle="1" w:styleId="Heading6Char">
    <w:name w:val="Heading 6 Char"/>
    <w:basedOn w:val="DefaultParagraphFont"/>
    <w:link w:val="Heading6"/>
    <w:rsid w:val="0054132F"/>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54132F"/>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54132F"/>
    <w:rPr>
      <w:rFonts w:ascii="Times New Roman" w:eastAsia="Times New Roman" w:hAnsi="Times New Roman" w:cs="Times New Roman"/>
      <w:b/>
      <w:snapToGrid w:val="0"/>
      <w:color w:val="000000"/>
      <w:sz w:val="24"/>
      <w:szCs w:val="20"/>
    </w:rPr>
  </w:style>
  <w:style w:type="character" w:customStyle="1" w:styleId="Heading9Char">
    <w:name w:val="Heading 9 Char"/>
    <w:basedOn w:val="DefaultParagraphFont"/>
    <w:link w:val="Heading9"/>
    <w:rsid w:val="0054132F"/>
    <w:rPr>
      <w:rFonts w:ascii="Times New Roman" w:eastAsia="Times New Roman" w:hAnsi="Times New Roman" w:cs="Times New Roman"/>
      <w:b/>
      <w:sz w:val="24"/>
      <w:szCs w:val="20"/>
    </w:rPr>
  </w:style>
  <w:style w:type="character" w:styleId="CommentReference">
    <w:name w:val="annotation reference"/>
    <w:basedOn w:val="DefaultParagraphFont"/>
    <w:rsid w:val="0054132F"/>
    <w:rPr>
      <w:sz w:val="16"/>
      <w:szCs w:val="16"/>
    </w:rPr>
  </w:style>
  <w:style w:type="paragraph" w:styleId="CommentText">
    <w:name w:val="annotation text"/>
    <w:basedOn w:val="Normal"/>
    <w:link w:val="CommentTextChar"/>
    <w:rsid w:val="0054132F"/>
    <w:pPr>
      <w:spacing w:line="240" w:lineRule="auto"/>
    </w:pPr>
    <w:rPr>
      <w:sz w:val="20"/>
      <w:szCs w:val="20"/>
    </w:rPr>
  </w:style>
  <w:style w:type="character" w:customStyle="1" w:styleId="CommentTextChar">
    <w:name w:val="Comment Text Char"/>
    <w:basedOn w:val="DefaultParagraphFont"/>
    <w:link w:val="CommentText"/>
    <w:rsid w:val="0054132F"/>
    <w:rPr>
      <w:sz w:val="20"/>
      <w:szCs w:val="20"/>
    </w:rPr>
  </w:style>
  <w:style w:type="paragraph" w:styleId="CommentSubject">
    <w:name w:val="annotation subject"/>
    <w:basedOn w:val="CommentText"/>
    <w:next w:val="CommentText"/>
    <w:link w:val="CommentSubjectChar"/>
    <w:rsid w:val="0054132F"/>
    <w:rPr>
      <w:b/>
      <w:bCs/>
    </w:rPr>
  </w:style>
  <w:style w:type="character" w:customStyle="1" w:styleId="CommentSubjectChar">
    <w:name w:val="Comment Subject Char"/>
    <w:basedOn w:val="CommentTextChar"/>
    <w:link w:val="CommentSubject"/>
    <w:rsid w:val="0054132F"/>
    <w:rPr>
      <w:b/>
      <w:bCs/>
      <w:sz w:val="20"/>
      <w:szCs w:val="20"/>
    </w:rPr>
  </w:style>
  <w:style w:type="paragraph" w:styleId="BalloonText">
    <w:name w:val="Balloon Text"/>
    <w:basedOn w:val="Normal"/>
    <w:link w:val="BalloonTextChar"/>
    <w:rsid w:val="00541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54132F"/>
    <w:rPr>
      <w:rFonts w:ascii="Tahoma" w:hAnsi="Tahoma" w:cs="Tahoma"/>
      <w:sz w:val="16"/>
      <w:szCs w:val="16"/>
    </w:rPr>
  </w:style>
  <w:style w:type="paragraph" w:customStyle="1" w:styleId="TOCHeader">
    <w:name w:val="TOC Header"/>
    <w:basedOn w:val="Normal"/>
    <w:rsid w:val="0054132F"/>
    <w:pPr>
      <w:spacing w:after="0" w:line="240" w:lineRule="auto"/>
      <w:ind w:left="115" w:right="115"/>
      <w:jc w:val="center"/>
    </w:pPr>
    <w:rPr>
      <w:rFonts w:eastAsia="Times New Roman" w:cs="Calibri"/>
      <w:szCs w:val="20"/>
    </w:rPr>
  </w:style>
  <w:style w:type="paragraph" w:styleId="TableofAuthorities">
    <w:name w:val="table of authorities"/>
    <w:basedOn w:val="Normal"/>
    <w:next w:val="Normal"/>
    <w:rsid w:val="0054132F"/>
    <w:pPr>
      <w:spacing w:after="0"/>
      <w:ind w:left="220" w:hanging="220"/>
    </w:pPr>
  </w:style>
  <w:style w:type="paragraph" w:styleId="TOC3">
    <w:name w:val="toc 3"/>
    <w:basedOn w:val="Normal"/>
    <w:next w:val="Normal"/>
    <w:autoRedefine/>
    <w:rsid w:val="0054132F"/>
    <w:pPr>
      <w:keepLines/>
      <w:tabs>
        <w:tab w:val="right" w:leader="dot" w:pos="9288"/>
      </w:tabs>
      <w:spacing w:after="120" w:line="240" w:lineRule="auto"/>
      <w:ind w:left="2160" w:right="720" w:hanging="720"/>
    </w:pPr>
    <w:rPr>
      <w:rFonts w:eastAsia="Times New Roman" w:cs="Calibri"/>
      <w:szCs w:val="20"/>
    </w:rPr>
  </w:style>
  <w:style w:type="paragraph" w:styleId="TOC4">
    <w:name w:val="toc 4"/>
    <w:basedOn w:val="Normal"/>
    <w:next w:val="Normal"/>
    <w:autoRedefine/>
    <w:rsid w:val="0054132F"/>
    <w:pPr>
      <w:keepLines/>
      <w:tabs>
        <w:tab w:val="right" w:leader="dot" w:pos="9288"/>
      </w:tabs>
      <w:spacing w:after="120" w:line="240" w:lineRule="auto"/>
      <w:ind w:left="2880" w:right="720" w:hanging="720"/>
    </w:pPr>
    <w:rPr>
      <w:rFonts w:eastAsia="Times New Roman" w:cs="Calibri"/>
      <w:szCs w:val="20"/>
    </w:rPr>
  </w:style>
  <w:style w:type="paragraph" w:styleId="TOC5">
    <w:name w:val="toc 5"/>
    <w:basedOn w:val="Normal"/>
    <w:next w:val="Normal"/>
    <w:autoRedefine/>
    <w:rsid w:val="0054132F"/>
    <w:pPr>
      <w:keepLines/>
      <w:tabs>
        <w:tab w:val="right" w:leader="dot" w:pos="9288"/>
      </w:tabs>
      <w:spacing w:after="120" w:line="240" w:lineRule="auto"/>
      <w:ind w:left="3600" w:right="720" w:hanging="720"/>
    </w:pPr>
    <w:rPr>
      <w:rFonts w:eastAsia="Times New Roman" w:cs="Calibri"/>
      <w:szCs w:val="20"/>
    </w:rPr>
  </w:style>
  <w:style w:type="paragraph" w:styleId="TOC6">
    <w:name w:val="toc 6"/>
    <w:basedOn w:val="Normal"/>
    <w:next w:val="Normal"/>
    <w:autoRedefine/>
    <w:rsid w:val="0054132F"/>
    <w:pPr>
      <w:keepLines/>
      <w:tabs>
        <w:tab w:val="right" w:leader="dot" w:pos="9288"/>
      </w:tabs>
      <w:spacing w:after="120" w:line="240" w:lineRule="auto"/>
      <w:ind w:left="4320" w:right="720" w:hanging="720"/>
    </w:pPr>
    <w:rPr>
      <w:rFonts w:eastAsia="Times New Roman" w:cs="Calibri"/>
      <w:szCs w:val="20"/>
    </w:rPr>
  </w:style>
  <w:style w:type="paragraph" w:styleId="TOC7">
    <w:name w:val="toc 7"/>
    <w:basedOn w:val="Normal"/>
    <w:next w:val="Normal"/>
    <w:autoRedefine/>
    <w:rsid w:val="0054132F"/>
    <w:pPr>
      <w:keepLines/>
      <w:tabs>
        <w:tab w:val="right" w:leader="dot" w:pos="9288"/>
      </w:tabs>
      <w:spacing w:after="120" w:line="240" w:lineRule="auto"/>
      <w:ind w:left="5040" w:right="720" w:hanging="720"/>
    </w:pPr>
    <w:rPr>
      <w:rFonts w:eastAsia="Times New Roman" w:cs="Calibri"/>
      <w:szCs w:val="20"/>
    </w:rPr>
  </w:style>
  <w:style w:type="paragraph" w:styleId="TOC8">
    <w:name w:val="toc 8"/>
    <w:basedOn w:val="Normal"/>
    <w:next w:val="Normal"/>
    <w:autoRedefine/>
    <w:rsid w:val="0054132F"/>
    <w:pPr>
      <w:keepLines/>
      <w:tabs>
        <w:tab w:val="right" w:leader="dot" w:pos="9288"/>
      </w:tabs>
      <w:spacing w:after="120" w:line="240" w:lineRule="auto"/>
      <w:ind w:left="5760" w:right="720" w:hanging="720"/>
    </w:pPr>
    <w:rPr>
      <w:rFonts w:eastAsia="Times New Roman" w:cs="Calibri"/>
      <w:szCs w:val="20"/>
    </w:rPr>
  </w:style>
  <w:style w:type="paragraph" w:styleId="TOC9">
    <w:name w:val="toc 9"/>
    <w:basedOn w:val="Normal"/>
    <w:next w:val="Normal"/>
    <w:autoRedefine/>
    <w:rsid w:val="0054132F"/>
    <w:pPr>
      <w:keepLines/>
      <w:tabs>
        <w:tab w:val="right" w:leader="dot" w:pos="9288"/>
      </w:tabs>
      <w:spacing w:after="120" w:line="240" w:lineRule="auto"/>
      <w:ind w:left="6480" w:right="720" w:hanging="720"/>
    </w:pPr>
    <w:rPr>
      <w:rFonts w:eastAsia="Times New Roman" w:cs="Calibri"/>
      <w:szCs w:val="20"/>
    </w:rPr>
  </w:style>
  <w:style w:type="paragraph" w:customStyle="1" w:styleId="Style1">
    <w:name w:val="Style1"/>
    <w:basedOn w:val="Normal"/>
    <w:rsid w:val="0054132F"/>
  </w:style>
  <w:style w:type="paragraph" w:customStyle="1" w:styleId="MacPacTrailer">
    <w:name w:val="MacPac Trailer"/>
    <w:rsid w:val="0054132F"/>
    <w:pPr>
      <w:widowControl w:val="0"/>
      <w:spacing w:line="200" w:lineRule="exact"/>
    </w:pPr>
    <w:rPr>
      <w:rFonts w:ascii="Times New Roman" w:eastAsia="Times New Roman" w:hAnsi="Times New Roman"/>
      <w:sz w:val="16"/>
      <w:szCs w:val="22"/>
    </w:rPr>
  </w:style>
  <w:style w:type="character" w:customStyle="1" w:styleId="zzmpTrailerItem">
    <w:name w:val="zzmpTrailerItem"/>
    <w:basedOn w:val="DefaultParagraphFont"/>
    <w:rsid w:val="004F70E2"/>
    <w:rPr>
      <w:rFonts w:ascii="Calibri" w:hAnsi="Calibri" w:cs="Calibri"/>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2680</Words>
  <Characters>15279</Characters>
  <Application>Microsoft Office Word</Application>
  <DocSecurity>0</DocSecurity>
  <Lines>127</Lines>
  <Paragraphs>35</Paragraphs>
  <ScaleCrop>false</ScaleCrop>
  <LinksUpToDate>false</LinksUpToDate>
  <CharactersWithSpaces>17924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2018-01-30T19:39:00Z</dcterms:created>
  <dcterms:modified xsi:type="dcterms:W3CDTF">2018-01-30T20:02:00Z</dcterms:modified>
</cp:coreProperties>
</file>